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3865A">
      <w:pPr>
        <w:pStyle w:val="2"/>
        <w:rPr>
          <w:rFonts w:hint="eastAsia"/>
          <w:color w:val="auto"/>
          <w:sz w:val="24"/>
          <w:szCs w:val="24"/>
          <w:lang w:val="en"/>
        </w:rPr>
      </w:pPr>
      <w:r>
        <w:rPr>
          <w:rFonts w:hint="eastAsia"/>
          <w:color w:val="auto"/>
          <w:lang w:val="en"/>
        </w:rPr>
        <w:t>医务管理系统技术参数</w:t>
      </w:r>
    </w:p>
    <w:p w14:paraId="0F861B77">
      <w:pPr>
        <w:pStyle w:val="3"/>
        <w:rPr>
          <w:rFonts w:hint="eastAsia"/>
          <w:color w:val="auto"/>
        </w:rPr>
      </w:pPr>
      <w:r>
        <w:rPr>
          <w:rFonts w:hint="eastAsia"/>
          <w:color w:val="auto"/>
        </w:rPr>
        <w:t xml:space="preserve">医务首页 </w:t>
      </w:r>
    </w:p>
    <w:p w14:paraId="26D865DF">
      <w:pPr>
        <w:pStyle w:val="45"/>
        <w:spacing w:before="0" w:beforeAutospacing="0" w:after="0" w:afterAutospacing="0"/>
        <w:rPr>
          <w:rFonts w:hint="eastAsia"/>
          <w:color w:val="auto"/>
          <w:lang w:val="en"/>
        </w:rPr>
      </w:pPr>
      <w:r>
        <w:rPr>
          <w:rFonts w:hint="eastAsia"/>
          <w:color w:val="auto"/>
          <w:lang w:val="en"/>
        </w:rPr>
        <w:t>提供医务管理人员、科主任首页门户，展示患者动态变化数据、待办任务提醒及处理、快捷入口功能。</w:t>
      </w:r>
    </w:p>
    <w:p w14:paraId="56C8D3FB">
      <w:pPr>
        <w:pStyle w:val="45"/>
        <w:autoSpaceDE w:val="0"/>
        <w:spacing w:before="0" w:beforeAutospacing="0" w:after="0" w:afterAutospacing="0"/>
        <w:rPr>
          <w:rFonts w:hint="eastAsia"/>
          <w:color w:val="auto"/>
          <w:lang w:val="en"/>
        </w:rPr>
      </w:pPr>
      <w:r>
        <w:rPr>
          <w:rFonts w:hint="eastAsia"/>
          <w:color w:val="auto"/>
          <w:lang w:val="en"/>
        </w:rPr>
        <w:t>具备门诊患者和住院患者每日动态数据查看和详情列表查看功能，类型包括在院患者、新入患者、出院患者、转入患者、转出患者、死亡患者、会诊患者、危急值、抢救人次、输血患者、手术患者、危重患者、关注患者。</w:t>
      </w:r>
    </w:p>
    <w:p w14:paraId="71793852">
      <w:pPr>
        <w:pStyle w:val="45"/>
        <w:autoSpaceDE w:val="0"/>
        <w:spacing w:before="0" w:beforeAutospacing="0" w:after="0" w:afterAutospacing="0"/>
        <w:rPr>
          <w:rFonts w:hint="eastAsia"/>
          <w:color w:val="auto"/>
          <w:lang w:val="en"/>
        </w:rPr>
      </w:pPr>
      <w:r>
        <w:rPr>
          <w:rFonts w:hint="eastAsia"/>
          <w:color w:val="auto"/>
          <w:lang w:val="en"/>
        </w:rPr>
        <w:t>具备按日期、科室查看首页汇总指标数据功能。</w:t>
      </w:r>
    </w:p>
    <w:p w14:paraId="52729075">
      <w:pPr>
        <w:pStyle w:val="45"/>
        <w:autoSpaceDE w:val="0"/>
        <w:spacing w:before="0" w:beforeAutospacing="0" w:after="0" w:afterAutospacing="0"/>
        <w:rPr>
          <w:rFonts w:hint="eastAsia"/>
          <w:color w:val="auto"/>
          <w:lang w:val="en"/>
        </w:rPr>
      </w:pPr>
      <w:r>
        <w:rPr>
          <w:rFonts w:hint="eastAsia"/>
          <w:color w:val="auto"/>
          <w:lang w:val="en"/>
        </w:rPr>
        <w:t>具备查看患者基本信息和患者诊疗信息功能，包括基本信息、诊断、体温、医嘱、住院病历、检验、检查、手术、入出科、危急值。</w:t>
      </w:r>
    </w:p>
    <w:p w14:paraId="399658C2">
      <w:pPr>
        <w:pStyle w:val="45"/>
        <w:autoSpaceDE w:val="0"/>
        <w:spacing w:before="0" w:beforeAutospacing="0" w:after="0" w:afterAutospacing="0"/>
        <w:rPr>
          <w:rFonts w:hint="eastAsia"/>
          <w:color w:val="auto"/>
          <w:lang w:val="en"/>
        </w:rPr>
      </w:pPr>
      <w:r>
        <w:rPr>
          <w:rFonts w:hint="eastAsia"/>
          <w:color w:val="auto"/>
          <w:lang w:val="en"/>
        </w:rPr>
        <w:t>具备集中展示待办任务、快捷入口功能。</w:t>
      </w:r>
    </w:p>
    <w:p w14:paraId="57D7F001">
      <w:pPr>
        <w:pStyle w:val="3"/>
        <w:rPr>
          <w:rFonts w:hint="eastAsia"/>
          <w:color w:val="auto"/>
        </w:rPr>
      </w:pPr>
      <w:r>
        <w:rPr>
          <w:rFonts w:hint="eastAsia"/>
          <w:color w:val="auto"/>
        </w:rPr>
        <w:t xml:space="preserve">医疗质量统计分析 </w:t>
      </w:r>
    </w:p>
    <w:p w14:paraId="121F34ED">
      <w:pPr>
        <w:pStyle w:val="4"/>
        <w:rPr>
          <w:rFonts w:hint="eastAsia"/>
          <w:color w:val="auto"/>
          <w:lang w:val="en"/>
        </w:rPr>
      </w:pPr>
      <w:r>
        <w:rPr>
          <w:rFonts w:hint="eastAsia"/>
          <w:color w:val="auto"/>
          <w:lang w:val="en"/>
        </w:rPr>
        <w:t xml:space="preserve">住院病历质量统计分析 </w:t>
      </w:r>
    </w:p>
    <w:p w14:paraId="523E246A">
      <w:pPr>
        <w:pStyle w:val="45"/>
        <w:spacing w:before="0" w:beforeAutospacing="0" w:after="0" w:afterAutospacing="0"/>
        <w:rPr>
          <w:rFonts w:hint="eastAsia"/>
          <w:color w:val="auto"/>
          <w:lang w:val="en"/>
        </w:rPr>
      </w:pPr>
      <w:r>
        <w:rPr>
          <w:rFonts w:hint="eastAsia"/>
          <w:color w:val="auto"/>
          <w:lang w:val="en"/>
        </w:rPr>
        <w:t>对住院病历质量进行统计分析，具体功能包括：住院病历质量概览、住院病历时限质量监测、病历评分质量监测、病历问题整改监测、病历质控工作量统计。</w:t>
      </w:r>
    </w:p>
    <w:p w14:paraId="3507D8D1">
      <w:pPr>
        <w:pStyle w:val="45"/>
        <w:autoSpaceDE w:val="0"/>
        <w:spacing w:before="0" w:beforeAutospacing="0" w:after="0" w:afterAutospacing="0"/>
        <w:rPr>
          <w:rFonts w:hint="eastAsia"/>
          <w:color w:val="auto"/>
          <w:lang w:val="en"/>
        </w:rPr>
      </w:pPr>
      <w:r>
        <w:rPr>
          <w:rFonts w:hint="eastAsia"/>
          <w:color w:val="auto"/>
          <w:lang w:val="en"/>
        </w:rPr>
        <w:t>具备住院病历质量概览功能，可汇总展示终末病历评分质量指标、病历质量分布情况、时限完成率分布情况。</w:t>
      </w:r>
    </w:p>
    <w:p w14:paraId="09158965">
      <w:pPr>
        <w:pStyle w:val="45"/>
        <w:autoSpaceDE w:val="0"/>
        <w:spacing w:before="0" w:beforeAutospacing="0" w:after="0" w:afterAutospacing="0"/>
        <w:rPr>
          <w:rFonts w:hint="eastAsia"/>
          <w:color w:val="auto"/>
          <w:lang w:val="en"/>
        </w:rPr>
      </w:pPr>
      <w:r>
        <w:rPr>
          <w:rFonts w:hint="eastAsia"/>
          <w:color w:val="auto"/>
          <w:lang w:val="en"/>
        </w:rPr>
        <w:t>具备住院病历时限完成情况监测及多维度统计分析功能，包括按科室、医生分别展示病历超时完成情况。</w:t>
      </w:r>
    </w:p>
    <w:p w14:paraId="1A449566">
      <w:pPr>
        <w:pStyle w:val="45"/>
        <w:autoSpaceDE w:val="0"/>
        <w:spacing w:before="0" w:beforeAutospacing="0" w:after="0" w:afterAutospacing="0"/>
        <w:rPr>
          <w:rFonts w:hint="eastAsia"/>
          <w:color w:val="auto"/>
          <w:lang w:val="en"/>
        </w:rPr>
      </w:pPr>
      <w:r>
        <w:rPr>
          <w:rFonts w:hint="eastAsia"/>
          <w:color w:val="auto"/>
          <w:lang w:val="en"/>
        </w:rPr>
        <w:t>具备住院病历质控问题整改情况监测及多维度统计分析功能，包括按科室、医生、质控细则分别展示病历质控问题整改情况。</w:t>
      </w:r>
    </w:p>
    <w:p w14:paraId="54243C40">
      <w:pPr>
        <w:pStyle w:val="45"/>
        <w:autoSpaceDE w:val="0"/>
        <w:spacing w:before="0" w:beforeAutospacing="0" w:after="0" w:afterAutospacing="0"/>
        <w:rPr>
          <w:rFonts w:hint="eastAsia"/>
          <w:color w:val="auto"/>
          <w:lang w:val="en"/>
        </w:rPr>
      </w:pPr>
      <w:r>
        <w:rPr>
          <w:rFonts w:hint="eastAsia"/>
          <w:color w:val="auto"/>
          <w:lang w:val="en"/>
        </w:rPr>
        <w:t>具备住院病历质量评分结果多维度统计分析功能，包括按科室、病区、诊疗组、医生分别统计分析及时归档、质控率、病历质控甲级率、乙级率、丙级率。</w:t>
      </w:r>
    </w:p>
    <w:p w14:paraId="0D28470F">
      <w:pPr>
        <w:pStyle w:val="45"/>
        <w:autoSpaceDE w:val="0"/>
        <w:spacing w:before="0" w:beforeAutospacing="0" w:after="0" w:afterAutospacing="0"/>
        <w:rPr>
          <w:rFonts w:hint="eastAsia"/>
          <w:color w:val="auto"/>
          <w:lang w:val="en"/>
        </w:rPr>
      </w:pPr>
      <w:r>
        <w:rPr>
          <w:rFonts w:hint="eastAsia"/>
          <w:color w:val="auto"/>
          <w:lang w:val="en"/>
        </w:rPr>
        <w:t>具备住院病历质量评分质控工作量统计功能。</w:t>
      </w:r>
    </w:p>
    <w:p w14:paraId="5D3ABBD3">
      <w:pPr>
        <w:pStyle w:val="45"/>
        <w:autoSpaceDE w:val="0"/>
        <w:spacing w:before="0" w:beforeAutospacing="0" w:after="0" w:afterAutospacing="0"/>
        <w:rPr>
          <w:rFonts w:hint="eastAsia"/>
          <w:color w:val="auto"/>
          <w:lang w:val="en"/>
        </w:rPr>
      </w:pPr>
      <w:r>
        <w:rPr>
          <w:rFonts w:hint="eastAsia"/>
          <w:color w:val="auto"/>
          <w:lang w:val="en"/>
        </w:rPr>
        <w:t>具备统计结果图表展示功能，并可查看具体明细。</w:t>
      </w:r>
    </w:p>
    <w:p w14:paraId="31448264">
      <w:pPr>
        <w:pStyle w:val="4"/>
        <w:rPr>
          <w:rFonts w:hint="eastAsia"/>
          <w:color w:val="auto"/>
          <w:lang w:val="en"/>
        </w:rPr>
      </w:pPr>
      <w:r>
        <w:rPr>
          <w:rFonts w:hint="eastAsia"/>
          <w:color w:val="auto"/>
          <w:lang w:val="en"/>
        </w:rPr>
        <w:t xml:space="preserve">住院手术质量统计分析 </w:t>
      </w:r>
    </w:p>
    <w:p w14:paraId="2C4B1005">
      <w:pPr>
        <w:pStyle w:val="45"/>
        <w:autoSpaceDE w:val="0"/>
        <w:spacing w:before="0" w:beforeAutospacing="0" w:after="0" w:afterAutospacing="0"/>
        <w:rPr>
          <w:rFonts w:hint="eastAsia"/>
          <w:color w:val="auto"/>
          <w:lang w:val="en"/>
        </w:rPr>
      </w:pPr>
      <w:r>
        <w:rPr>
          <w:rFonts w:hint="eastAsia"/>
          <w:color w:val="auto"/>
          <w:lang w:val="en"/>
        </w:rPr>
        <w:t>对全院手术量、重大手术、非计划手术按照科室、病区、医疗组、医生维度进行统计。</w:t>
      </w:r>
    </w:p>
    <w:p w14:paraId="56B2538D">
      <w:pPr>
        <w:pStyle w:val="45"/>
        <w:autoSpaceDE w:val="0"/>
        <w:spacing w:before="0" w:beforeAutospacing="0" w:after="0" w:afterAutospacing="0"/>
        <w:rPr>
          <w:rFonts w:hint="eastAsia"/>
          <w:color w:val="auto"/>
          <w:lang w:val="en"/>
        </w:rPr>
      </w:pPr>
      <w:r>
        <w:rPr>
          <w:rFonts w:hint="eastAsia"/>
          <w:color w:val="auto"/>
          <w:lang w:val="en"/>
        </w:rPr>
        <w:t>具备对全院手术质量与安全指标进行统计功能，包括：手术人次、一级手术量及占比、二级手术量及占比、三级手术量及占比、四级手术量及占比、非计划再次手术监测例数、住院重大手术总例数、二次以上手术量。</w:t>
      </w:r>
    </w:p>
    <w:p w14:paraId="123C29DB">
      <w:pPr>
        <w:pStyle w:val="45"/>
        <w:autoSpaceDE w:val="0"/>
        <w:spacing w:before="0" w:beforeAutospacing="0" w:after="0" w:afterAutospacing="0"/>
        <w:rPr>
          <w:rFonts w:hint="eastAsia"/>
          <w:color w:val="auto"/>
          <w:lang w:val="en"/>
        </w:rPr>
      </w:pPr>
      <w:r>
        <w:rPr>
          <w:rFonts w:hint="eastAsia"/>
          <w:color w:val="auto"/>
          <w:lang w:val="en"/>
        </w:rPr>
        <w:t>具备多维度统计，并图表展示统计结果功能，可查看具体明细。</w:t>
      </w:r>
    </w:p>
    <w:p w14:paraId="291E8409">
      <w:pPr>
        <w:pStyle w:val="4"/>
        <w:rPr>
          <w:rFonts w:hint="eastAsia"/>
          <w:color w:val="auto"/>
          <w:lang w:val="en"/>
        </w:rPr>
      </w:pPr>
      <w:r>
        <w:rPr>
          <w:rFonts w:hint="eastAsia"/>
          <w:color w:val="auto"/>
          <w:lang w:val="en"/>
        </w:rPr>
        <w:t xml:space="preserve">会诊质量统计分析 </w:t>
      </w:r>
    </w:p>
    <w:p w14:paraId="12BC2012">
      <w:pPr>
        <w:pStyle w:val="45"/>
        <w:autoSpaceDE w:val="0"/>
        <w:spacing w:before="0" w:beforeAutospacing="0" w:after="0" w:afterAutospacing="0"/>
        <w:rPr>
          <w:rFonts w:hint="eastAsia"/>
          <w:color w:val="auto"/>
          <w:lang w:val="en"/>
        </w:rPr>
      </w:pPr>
      <w:r>
        <w:rPr>
          <w:rFonts w:hint="eastAsia"/>
          <w:color w:val="auto"/>
          <w:lang w:val="en"/>
        </w:rPr>
        <w:t>需提供会诊申请情况统计分析、会诊开展质量情况统计分析、会诊病历完成情况质量统计分析功能。</w:t>
      </w:r>
    </w:p>
    <w:p w14:paraId="5626FB00">
      <w:pPr>
        <w:pStyle w:val="45"/>
        <w:autoSpaceDE w:val="0"/>
        <w:spacing w:before="0" w:beforeAutospacing="0" w:after="0" w:afterAutospacing="0"/>
        <w:rPr>
          <w:rFonts w:hint="eastAsia"/>
          <w:color w:val="auto"/>
          <w:lang w:val="en"/>
        </w:rPr>
      </w:pPr>
      <w:r>
        <w:rPr>
          <w:rFonts w:hint="eastAsia"/>
          <w:color w:val="auto"/>
          <w:lang w:val="en"/>
        </w:rPr>
        <w:t>具备会诊申请情况统计分析功能，包括按科室展示普通会诊、多</w:t>
      </w:r>
      <w:r>
        <w:rPr>
          <w:rFonts w:hint="eastAsia"/>
          <w:color w:val="auto"/>
          <w:lang w:val="en-US" w:eastAsia="zh-CN"/>
        </w:rPr>
        <w:t>学科</w:t>
      </w:r>
      <w:r>
        <w:rPr>
          <w:rFonts w:hint="eastAsia"/>
          <w:color w:val="auto"/>
          <w:lang w:val="en"/>
        </w:rPr>
        <w:t>联合会诊、院外</w:t>
      </w:r>
      <w:r>
        <w:rPr>
          <w:rFonts w:hint="eastAsia"/>
          <w:strike/>
          <w:dstrike w:val="0"/>
          <w:color w:val="auto"/>
          <w:lang w:val="en"/>
        </w:rPr>
        <w:t>大</w:t>
      </w:r>
      <w:r>
        <w:rPr>
          <w:rFonts w:hint="eastAsia"/>
          <w:color w:val="auto"/>
          <w:lang w:val="en"/>
        </w:rPr>
        <w:t>会诊开展情况并统计各类型会诊申请率、接收率、</w:t>
      </w:r>
      <w:r>
        <w:rPr>
          <w:rFonts w:hint="eastAsia"/>
          <w:color w:val="auto"/>
          <w:lang w:val="en-US" w:eastAsia="zh-CN"/>
        </w:rPr>
        <w:t>及时</w:t>
      </w:r>
      <w:r>
        <w:rPr>
          <w:rFonts w:hint="eastAsia"/>
          <w:color w:val="auto"/>
          <w:lang w:val="en"/>
        </w:rPr>
        <w:t>完成率。</w:t>
      </w:r>
    </w:p>
    <w:p w14:paraId="30780C23">
      <w:pPr>
        <w:pStyle w:val="45"/>
        <w:autoSpaceDE w:val="0"/>
        <w:spacing w:before="0" w:beforeAutospacing="0" w:after="0" w:afterAutospacing="0"/>
        <w:rPr>
          <w:rFonts w:hint="eastAsia"/>
          <w:color w:val="auto"/>
          <w:lang w:val="en"/>
        </w:rPr>
      </w:pPr>
      <w:r>
        <w:rPr>
          <w:rFonts w:hint="eastAsia"/>
          <w:color w:val="auto"/>
          <w:lang w:val="en"/>
        </w:rPr>
        <w:t>具备会诊开展质量情况统计分析功能，包括按科室对各类型会诊统计会诊完成情况、按时完成情况、会诊评价满意率。</w:t>
      </w:r>
    </w:p>
    <w:p w14:paraId="08766C17">
      <w:pPr>
        <w:pStyle w:val="45"/>
        <w:autoSpaceDE w:val="0"/>
        <w:spacing w:before="0" w:beforeAutospacing="0" w:after="0" w:afterAutospacing="0"/>
        <w:rPr>
          <w:rFonts w:hint="eastAsia"/>
          <w:color w:val="auto"/>
          <w:lang w:val="en"/>
        </w:rPr>
      </w:pPr>
      <w:r>
        <w:rPr>
          <w:rFonts w:hint="eastAsia"/>
          <w:color w:val="auto"/>
          <w:lang w:val="en"/>
        </w:rPr>
        <w:t>具备会诊病历完成情况与质量统计功能，包括按科室、病区、医生维度展示会诊病历缺陷情况和非会诊病历缺陷情况。</w:t>
      </w:r>
    </w:p>
    <w:p w14:paraId="421D6BDF">
      <w:pPr>
        <w:pStyle w:val="45"/>
        <w:autoSpaceDE w:val="0"/>
        <w:spacing w:before="0" w:beforeAutospacing="0" w:after="0" w:afterAutospacing="0"/>
        <w:rPr>
          <w:rFonts w:hint="eastAsia"/>
          <w:color w:val="auto"/>
          <w:lang w:val="en"/>
        </w:rPr>
      </w:pPr>
      <w:r>
        <w:rPr>
          <w:rFonts w:hint="eastAsia"/>
          <w:color w:val="auto"/>
          <w:lang w:val="en"/>
        </w:rPr>
        <w:t>具备统计结果图表展示功能，并可查看具体明细。</w:t>
      </w:r>
    </w:p>
    <w:p w14:paraId="7DC028B8">
      <w:pPr>
        <w:pStyle w:val="4"/>
        <w:rPr>
          <w:rFonts w:hint="eastAsia"/>
          <w:color w:val="auto"/>
          <w:lang w:val="en"/>
        </w:rPr>
      </w:pPr>
      <w:r>
        <w:rPr>
          <w:rFonts w:hint="eastAsia"/>
          <w:color w:val="auto"/>
          <w:lang w:val="en"/>
        </w:rPr>
        <w:t xml:space="preserve">抗菌药物统计分析 </w:t>
      </w:r>
    </w:p>
    <w:p w14:paraId="4FE70B76">
      <w:pPr>
        <w:pStyle w:val="45"/>
        <w:autoSpaceDE w:val="0"/>
        <w:spacing w:before="0" w:beforeAutospacing="0" w:after="0" w:afterAutospacing="0"/>
        <w:rPr>
          <w:rFonts w:hint="eastAsia"/>
          <w:color w:val="auto"/>
          <w:lang w:val="en"/>
        </w:rPr>
      </w:pPr>
      <w:r>
        <w:rPr>
          <w:rFonts w:hint="eastAsia"/>
          <w:color w:val="auto"/>
          <w:lang w:val="en"/>
        </w:rPr>
        <w:t>需提供门急诊抗菌药物、住院抗菌药物、手术抗菌药物相关质量指标统计分析，包括使用人次、使用强度、使用品种等。</w:t>
      </w:r>
    </w:p>
    <w:p w14:paraId="6DAF8801">
      <w:pPr>
        <w:pStyle w:val="45"/>
        <w:autoSpaceDE w:val="0"/>
        <w:spacing w:before="0" w:beforeAutospacing="0" w:after="0" w:afterAutospacing="0"/>
        <w:rPr>
          <w:rFonts w:hint="eastAsia"/>
          <w:color w:val="auto"/>
          <w:lang w:val="en"/>
        </w:rPr>
      </w:pPr>
      <w:r>
        <w:rPr>
          <w:rFonts w:hint="eastAsia"/>
          <w:color w:val="auto"/>
          <w:lang w:val="en"/>
        </w:rPr>
        <w:t>具备门(急)诊抗菌药物情况多维度统计分析功能，包括按科室、医生分别展示抗菌药物处方人次、抗菌药物静脉使用人次、抗菌药物费用、人均使用抗菌药物品种数。</w:t>
      </w:r>
    </w:p>
    <w:p w14:paraId="02017BEA">
      <w:pPr>
        <w:pStyle w:val="45"/>
        <w:autoSpaceDE w:val="0"/>
        <w:spacing w:before="0" w:beforeAutospacing="0" w:after="0" w:afterAutospacing="0"/>
        <w:rPr>
          <w:rFonts w:hint="eastAsia"/>
          <w:color w:val="auto"/>
          <w:lang w:val="en"/>
        </w:rPr>
      </w:pPr>
      <w:r>
        <w:rPr>
          <w:rFonts w:hint="eastAsia"/>
          <w:color w:val="auto"/>
          <w:lang w:val="en"/>
        </w:rPr>
        <w:t>具备住院抗菌药物使用情况多维度统计分析功能，包括按科室、医生分别展示人均使用抗菌药物费用、住院患者抗菌药物使用强度、住院抗菌药物使用率、特殊使用级抗菌药物使用率。</w:t>
      </w:r>
    </w:p>
    <w:p w14:paraId="0DFB62B4">
      <w:pPr>
        <w:pStyle w:val="45"/>
        <w:autoSpaceDE w:val="0"/>
        <w:spacing w:before="0" w:beforeAutospacing="0" w:after="0" w:afterAutospacing="0"/>
        <w:rPr>
          <w:rFonts w:hint="eastAsia"/>
          <w:color w:val="auto"/>
          <w:lang w:val="en"/>
        </w:rPr>
      </w:pPr>
      <w:r>
        <w:rPr>
          <w:rFonts w:hint="eastAsia"/>
          <w:color w:val="auto"/>
          <w:lang w:val="en"/>
        </w:rPr>
        <w:t>具备手术患者抗菌药物情况多维度统计分析功能，包括按科室、医生分别展示I类切口患者使用抗菌药物例次及占比、I类切口手术预防使用抗菌药物例次及占比、手术患者使用抗菌药物例次及占比。</w:t>
      </w:r>
    </w:p>
    <w:p w14:paraId="00064AB2">
      <w:pPr>
        <w:pStyle w:val="45"/>
        <w:autoSpaceDE w:val="0"/>
        <w:spacing w:before="0" w:beforeAutospacing="0" w:after="0" w:afterAutospacing="0"/>
        <w:rPr>
          <w:rFonts w:hint="eastAsia"/>
          <w:color w:val="auto"/>
          <w:lang w:val="en"/>
        </w:rPr>
      </w:pPr>
      <w:r>
        <w:rPr>
          <w:rFonts w:hint="eastAsia"/>
          <w:color w:val="auto"/>
          <w:lang w:val="en"/>
        </w:rPr>
        <w:t>具备统计结果图表展示功能，并可查看具体明细。</w:t>
      </w:r>
    </w:p>
    <w:p w14:paraId="0C6C34BB">
      <w:pPr>
        <w:pStyle w:val="4"/>
        <w:rPr>
          <w:rFonts w:hint="eastAsia"/>
          <w:color w:val="auto"/>
          <w:lang w:val="en"/>
        </w:rPr>
      </w:pPr>
      <w:r>
        <w:rPr>
          <w:rFonts w:hint="eastAsia"/>
          <w:color w:val="auto"/>
          <w:lang w:val="en"/>
        </w:rPr>
        <w:t xml:space="preserve">住院输血质量统计分析 </w:t>
      </w:r>
    </w:p>
    <w:p w14:paraId="2E2FA7E7">
      <w:pPr>
        <w:pStyle w:val="45"/>
        <w:spacing w:before="0" w:beforeAutospacing="0" w:after="0" w:afterAutospacing="0"/>
        <w:rPr>
          <w:rFonts w:hint="eastAsia"/>
          <w:color w:val="auto"/>
          <w:lang w:val="en"/>
        </w:rPr>
      </w:pPr>
      <w:r>
        <w:rPr>
          <w:rFonts w:hint="eastAsia"/>
          <w:color w:val="auto"/>
          <w:lang w:val="en"/>
        </w:rPr>
        <w:t>对输血患者用量按科室、医生、血液类型维度进行统计。</w:t>
      </w:r>
    </w:p>
    <w:p w14:paraId="7549125D">
      <w:pPr>
        <w:pStyle w:val="45"/>
        <w:spacing w:before="0" w:beforeAutospacing="0" w:after="0" w:afterAutospacing="0"/>
        <w:rPr>
          <w:rFonts w:hint="eastAsia"/>
          <w:color w:val="auto"/>
          <w:lang w:val="en"/>
        </w:rPr>
      </w:pPr>
      <w:r>
        <w:rPr>
          <w:rFonts w:hint="eastAsia"/>
          <w:color w:val="auto"/>
          <w:lang w:val="en"/>
        </w:rPr>
        <w:t>具备输血量情况多维度统计分析功能，包括按科室、血液分类分别展示不同血液类型输血量、不同血型输血量。</w:t>
      </w:r>
    </w:p>
    <w:p w14:paraId="0F52726C">
      <w:pPr>
        <w:pStyle w:val="45"/>
        <w:spacing w:before="0" w:beforeAutospacing="0" w:after="0" w:afterAutospacing="0"/>
        <w:rPr>
          <w:rFonts w:hint="eastAsia"/>
          <w:color w:val="auto"/>
          <w:lang w:val="en"/>
        </w:rPr>
      </w:pPr>
      <w:r>
        <w:rPr>
          <w:rFonts w:hint="eastAsia"/>
          <w:color w:val="auto"/>
          <w:lang w:val="en"/>
        </w:rPr>
        <w:t>具备统计结果图表展示功能，并可查看具体明细。</w:t>
      </w:r>
    </w:p>
    <w:p w14:paraId="68FC5DCB">
      <w:pPr>
        <w:pStyle w:val="4"/>
        <w:rPr>
          <w:rFonts w:hint="eastAsia"/>
          <w:color w:val="auto"/>
          <w:lang w:val="en"/>
        </w:rPr>
      </w:pPr>
      <w:r>
        <w:rPr>
          <w:rFonts w:hint="eastAsia"/>
          <w:color w:val="auto"/>
          <w:lang w:val="en"/>
        </w:rPr>
        <w:t xml:space="preserve">危急值质量统计分析 </w:t>
      </w:r>
    </w:p>
    <w:p w14:paraId="34A7164E">
      <w:pPr>
        <w:pStyle w:val="45"/>
        <w:autoSpaceDE w:val="0"/>
        <w:spacing w:before="0" w:beforeAutospacing="0" w:after="0" w:afterAutospacing="0"/>
        <w:rPr>
          <w:rFonts w:hint="eastAsia"/>
          <w:color w:val="auto"/>
          <w:lang w:val="en"/>
        </w:rPr>
      </w:pPr>
      <w:r>
        <w:rPr>
          <w:rFonts w:hint="eastAsia"/>
          <w:color w:val="auto"/>
          <w:lang w:val="en"/>
        </w:rPr>
        <w:t>对危急值报告发布、接收、及时处理按科室、病区、医疗组、医生维度进行统计。</w:t>
      </w:r>
    </w:p>
    <w:p w14:paraId="090F74D9">
      <w:pPr>
        <w:pStyle w:val="45"/>
        <w:spacing w:before="0" w:beforeAutospacing="0" w:after="0" w:afterAutospacing="0"/>
        <w:rPr>
          <w:rFonts w:hint="eastAsia"/>
          <w:color w:val="auto"/>
          <w:lang w:val="en"/>
        </w:rPr>
      </w:pPr>
      <w:r>
        <w:rPr>
          <w:rFonts w:hint="eastAsia"/>
          <w:color w:val="auto"/>
          <w:lang w:val="en"/>
        </w:rPr>
        <w:t>具备危急值发布情况统计分析功能，根据医技科室统计门（急）诊、住院科室的危急值发布信息、召回信息、接收信息、处理信息，并分析超时情况。</w:t>
      </w:r>
    </w:p>
    <w:p w14:paraId="31025963">
      <w:pPr>
        <w:pStyle w:val="45"/>
        <w:spacing w:before="0" w:beforeAutospacing="0" w:after="0" w:afterAutospacing="0"/>
        <w:rPr>
          <w:rFonts w:hint="eastAsia"/>
          <w:color w:val="auto"/>
          <w:lang w:val="en"/>
        </w:rPr>
      </w:pPr>
      <w:r>
        <w:rPr>
          <w:rFonts w:hint="eastAsia"/>
          <w:color w:val="auto"/>
          <w:lang w:val="en"/>
        </w:rPr>
        <w:t>具备门（急）诊危急值处理情况统计分析功能，根据处理科室统计危急值发布信息、处理信息，包括接收数、处理数、超时处理数、平均处理时长。</w:t>
      </w:r>
    </w:p>
    <w:p w14:paraId="422BF96A">
      <w:pPr>
        <w:pStyle w:val="45"/>
        <w:spacing w:before="0" w:beforeAutospacing="0" w:after="0" w:afterAutospacing="0"/>
        <w:rPr>
          <w:rFonts w:hint="eastAsia"/>
          <w:color w:val="auto"/>
          <w:lang w:val="en"/>
        </w:rPr>
      </w:pPr>
      <w:r>
        <w:rPr>
          <w:rFonts w:hint="eastAsia"/>
          <w:color w:val="auto"/>
          <w:lang w:val="en"/>
        </w:rPr>
        <w:t>具备住院危急值处理情况统计分析功能，根据处理科室统计危急值发布信息、处理信息，包括接收数、处理数、超时处理数、平均处理时长。</w:t>
      </w:r>
    </w:p>
    <w:p w14:paraId="2C0C382B">
      <w:pPr>
        <w:pStyle w:val="45"/>
        <w:spacing w:before="0" w:beforeAutospacing="0" w:after="0" w:afterAutospacing="0"/>
        <w:rPr>
          <w:rFonts w:hint="eastAsia"/>
          <w:color w:val="auto"/>
          <w:lang w:val="en"/>
        </w:rPr>
      </w:pPr>
      <w:r>
        <w:rPr>
          <w:rFonts w:hint="eastAsia"/>
          <w:color w:val="auto"/>
          <w:lang w:val="en"/>
        </w:rPr>
        <w:t>具备统计结果图表展示功能，并可查看具体明细。</w:t>
      </w:r>
    </w:p>
    <w:p w14:paraId="6BD3893C">
      <w:pPr>
        <w:pStyle w:val="3"/>
        <w:rPr>
          <w:rFonts w:hint="eastAsia"/>
          <w:color w:val="auto"/>
        </w:rPr>
      </w:pPr>
      <w:r>
        <w:rPr>
          <w:rFonts w:hint="eastAsia"/>
          <w:color w:val="auto"/>
        </w:rPr>
        <w:t xml:space="preserve">医疗质量管理 </w:t>
      </w:r>
    </w:p>
    <w:p w14:paraId="2D44A4CE">
      <w:pPr>
        <w:pStyle w:val="4"/>
        <w:rPr>
          <w:rFonts w:hint="eastAsia"/>
          <w:color w:val="auto"/>
          <w:lang w:val="en"/>
        </w:rPr>
      </w:pPr>
      <w:r>
        <w:rPr>
          <w:rFonts w:hint="eastAsia"/>
          <w:color w:val="auto"/>
          <w:lang w:val="en"/>
        </w:rPr>
        <w:t xml:space="preserve">住院电子病历质量管理 </w:t>
      </w:r>
    </w:p>
    <w:p w14:paraId="3D733CCA">
      <w:pPr>
        <w:pStyle w:val="45"/>
        <w:autoSpaceDE w:val="0"/>
        <w:spacing w:before="0" w:beforeAutospacing="0" w:after="0" w:afterAutospacing="0"/>
        <w:rPr>
          <w:rFonts w:hint="eastAsia"/>
          <w:color w:val="auto"/>
          <w:lang w:val="en"/>
        </w:rPr>
      </w:pPr>
      <w:r>
        <w:rPr>
          <w:rFonts w:hint="eastAsia"/>
          <w:color w:val="auto"/>
          <w:lang w:val="en"/>
        </w:rPr>
        <w:t>需实现三级病历质控，医务质控人员对患者病历进行诊疗组病历质控、科室病历质控和院级病历质控功能。</w:t>
      </w:r>
    </w:p>
    <w:p w14:paraId="08EFF5F1">
      <w:pPr>
        <w:pStyle w:val="45"/>
        <w:autoSpaceDE w:val="0"/>
        <w:spacing w:before="0" w:beforeAutospacing="0" w:after="0" w:afterAutospacing="0"/>
        <w:rPr>
          <w:rFonts w:hint="eastAsia"/>
          <w:color w:val="auto"/>
          <w:lang w:val="en"/>
        </w:rPr>
      </w:pPr>
      <w:r>
        <w:rPr>
          <w:rFonts w:hint="eastAsia"/>
          <w:color w:val="auto"/>
          <w:lang w:val="en"/>
        </w:rPr>
        <w:t>具备医疗组病历质控功能，科室医疗组可对组内运行病历和终末病历进行质控检查，并指定组内医生进行缺陷问题修复。</w:t>
      </w:r>
    </w:p>
    <w:p w14:paraId="78BAC8E2">
      <w:pPr>
        <w:pStyle w:val="45"/>
        <w:autoSpaceDE w:val="0"/>
        <w:spacing w:before="0" w:beforeAutospacing="0" w:after="0" w:afterAutospacing="0"/>
        <w:rPr>
          <w:rFonts w:hint="eastAsia"/>
          <w:color w:val="auto"/>
          <w:lang w:val="en"/>
        </w:rPr>
      </w:pPr>
      <w:r>
        <w:rPr>
          <w:rFonts w:hint="eastAsia"/>
          <w:color w:val="auto"/>
          <w:lang w:val="en"/>
        </w:rPr>
        <w:t>具备科室病历质控功能，科室质控员可对科室运行病历和终末病历进行质控检查，发现缺陷问题下达整改，要求科室医师进行问题修复。</w:t>
      </w:r>
    </w:p>
    <w:p w14:paraId="30B977FE">
      <w:pPr>
        <w:pStyle w:val="45"/>
        <w:autoSpaceDE w:val="0"/>
        <w:spacing w:before="0" w:beforeAutospacing="0" w:after="0" w:afterAutospacing="0"/>
        <w:rPr>
          <w:rFonts w:hint="eastAsia"/>
          <w:color w:val="auto"/>
          <w:lang w:val="en"/>
        </w:rPr>
      </w:pPr>
      <w:r>
        <w:rPr>
          <w:rFonts w:hint="eastAsia"/>
          <w:color w:val="auto"/>
          <w:lang w:val="en"/>
        </w:rPr>
        <w:t>具备院级病历质控功能，</w:t>
      </w:r>
      <w:r>
        <w:rPr>
          <w:rFonts w:hint="eastAsia"/>
          <w:color w:val="auto"/>
          <w:lang w:val="en-US" w:eastAsia="zh-CN"/>
        </w:rPr>
        <w:t>质量管理部门</w:t>
      </w:r>
      <w:r>
        <w:rPr>
          <w:rFonts w:hint="eastAsia"/>
          <w:color w:val="auto"/>
          <w:lang w:val="en"/>
        </w:rPr>
        <w:t>对全院运行病历和终末病历进行抽查检查，发现缺陷问题下达整改，并对已答复问题进行跟踪确认。</w:t>
      </w:r>
    </w:p>
    <w:p w14:paraId="563D28B5">
      <w:pPr>
        <w:pStyle w:val="45"/>
        <w:autoSpaceDE w:val="0"/>
        <w:spacing w:before="0" w:beforeAutospacing="0" w:after="0" w:afterAutospacing="0"/>
        <w:rPr>
          <w:rFonts w:hint="eastAsia"/>
          <w:color w:val="auto"/>
          <w:lang w:val="en"/>
        </w:rPr>
      </w:pPr>
      <w:r>
        <w:rPr>
          <w:rFonts w:hint="eastAsia"/>
          <w:color w:val="auto"/>
          <w:lang w:val="en"/>
        </w:rPr>
        <w:t>具备主动监测运行病历和终末病历时限情况，在系统自检基础上增加人工质控结果，提高质控效率。</w:t>
      </w:r>
    </w:p>
    <w:p w14:paraId="034F9501">
      <w:pPr>
        <w:pStyle w:val="45"/>
        <w:autoSpaceDE w:val="0"/>
        <w:spacing w:before="0" w:beforeAutospacing="0" w:after="0" w:afterAutospacing="0"/>
        <w:rPr>
          <w:rFonts w:hint="eastAsia"/>
          <w:color w:val="auto"/>
          <w:lang w:val="en"/>
        </w:rPr>
      </w:pPr>
      <w:r>
        <w:rPr>
          <w:rFonts w:hint="eastAsia"/>
          <w:color w:val="auto"/>
          <w:lang w:val="en"/>
        </w:rPr>
        <w:t>具备重点质控患者抽查功能，包括病危、病重、手术、会诊、输血、抢救、分娩、死亡、危急值、大</w:t>
      </w:r>
      <w:r>
        <w:rPr>
          <w:rFonts w:hint="eastAsia"/>
          <w:color w:val="auto"/>
          <w:lang w:val="en" w:eastAsia="zh-CN"/>
        </w:rPr>
        <w:t>额</w:t>
      </w:r>
      <w:r>
        <w:rPr>
          <w:rFonts w:hint="eastAsia"/>
          <w:color w:val="auto"/>
          <w:lang w:val="en"/>
        </w:rPr>
        <w:t>费用。</w:t>
      </w:r>
    </w:p>
    <w:p w14:paraId="1F13F466">
      <w:pPr>
        <w:pStyle w:val="45"/>
        <w:autoSpaceDE w:val="0"/>
        <w:spacing w:before="0" w:beforeAutospacing="0" w:after="0" w:afterAutospacing="0"/>
        <w:rPr>
          <w:rFonts w:hint="eastAsia"/>
          <w:color w:val="auto"/>
          <w:lang w:val="en"/>
        </w:rPr>
      </w:pPr>
      <w:r>
        <w:rPr>
          <w:rFonts w:hint="eastAsia"/>
          <w:color w:val="auto"/>
          <w:lang w:val="en"/>
        </w:rPr>
        <w:t>具备缺陷问题下达整改单功能，可按照单个患者指定问题下达整改，也可以按照科室发现整改问题批量下达整改。</w:t>
      </w:r>
    </w:p>
    <w:p w14:paraId="5B93A6E6">
      <w:pPr>
        <w:pStyle w:val="45"/>
        <w:autoSpaceDE w:val="0"/>
        <w:spacing w:before="0" w:beforeAutospacing="0" w:after="0" w:afterAutospacing="0"/>
        <w:rPr>
          <w:rFonts w:hint="eastAsia"/>
          <w:color w:val="auto"/>
          <w:lang w:val="en"/>
        </w:rPr>
      </w:pPr>
      <w:r>
        <w:rPr>
          <w:rFonts w:hint="eastAsia"/>
          <w:color w:val="auto"/>
          <w:lang w:val="en"/>
        </w:rPr>
        <w:t>具备缺陷问题下达到涉及医生或指定医生功能，涉及医生在住院医生站进行答复整改，缺陷项目可集中查看。</w:t>
      </w:r>
    </w:p>
    <w:p w14:paraId="4A76BF17">
      <w:pPr>
        <w:pStyle w:val="45"/>
        <w:autoSpaceDE w:val="0"/>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具备专家组交叉病历质控功能，设置专家小组成员以及质控检查范围，在要求时间内完成病历质控检</w:t>
      </w:r>
      <w:r>
        <w:rPr>
          <w:rFonts w:hint="eastAsia"/>
          <w:color w:val="auto"/>
          <w:lang w:val="en-US" w:eastAsia="zh-CN"/>
        </w:rPr>
        <w:t xml:space="preserve"> </w:t>
      </w:r>
      <w:r>
        <w:rPr>
          <w:rFonts w:hint="eastAsia"/>
          <w:color w:val="auto"/>
          <w:lang w:val="en"/>
        </w:rPr>
        <w:t>查，并下达问题整改单进行跟踪确认。</w:t>
      </w:r>
      <w:r>
        <w:rPr>
          <w:rFonts w:hint="eastAsia"/>
          <w:color w:val="auto"/>
          <w:lang w:val="en" w:eastAsia="zh-CN"/>
        </w:rPr>
        <w:t>（</w:t>
      </w:r>
      <w:r>
        <w:rPr>
          <w:rFonts w:hint="eastAsia"/>
          <w:color w:val="auto"/>
          <w:lang w:val="en-US" w:eastAsia="zh-CN"/>
        </w:rPr>
        <w:t>投标人需提供专家组维护、专家组成员维护、质控执行时间范围设置功能截图。）</w:t>
      </w:r>
    </w:p>
    <w:p w14:paraId="488DA0A9">
      <w:pPr>
        <w:pStyle w:val="45"/>
        <w:autoSpaceDE w:val="0"/>
        <w:spacing w:before="0" w:beforeAutospacing="0" w:after="0" w:afterAutospacing="0"/>
        <w:rPr>
          <w:rFonts w:hint="eastAsia"/>
          <w:color w:val="auto"/>
          <w:lang w:val="en"/>
        </w:rPr>
      </w:pPr>
      <w:r>
        <w:rPr>
          <w:rFonts w:hint="eastAsia"/>
          <w:color w:val="auto"/>
          <w:lang w:val="en"/>
        </w:rPr>
        <w:t>具备根据国家病历评定标准和医院病历评定标准要求进行质控检查项目维护功能。</w:t>
      </w:r>
    </w:p>
    <w:p w14:paraId="7C593BEC">
      <w:pPr>
        <w:pStyle w:val="45"/>
        <w:autoSpaceDE w:val="0"/>
        <w:spacing w:before="0" w:beforeAutospacing="0" w:after="0" w:afterAutospacing="0"/>
        <w:rPr>
          <w:rFonts w:hint="eastAsia"/>
          <w:color w:val="auto"/>
          <w:lang w:val="en"/>
        </w:rPr>
      </w:pPr>
      <w:r>
        <w:rPr>
          <w:rFonts w:hint="eastAsia"/>
          <w:color w:val="auto"/>
          <w:lang w:val="en"/>
        </w:rPr>
        <w:t>具备根据不同科室、不同诊断设定质控检查项目，满足专科、专病质控要求。</w:t>
      </w:r>
    </w:p>
    <w:p w14:paraId="065CC659">
      <w:pPr>
        <w:pStyle w:val="45"/>
        <w:spacing w:before="0" w:beforeAutospacing="0" w:after="0" w:afterAutospacing="0"/>
        <w:rPr>
          <w:rFonts w:hint="eastAsia"/>
          <w:color w:val="auto"/>
          <w:lang w:val="en"/>
        </w:rPr>
      </w:pPr>
      <w:r>
        <w:rPr>
          <w:rFonts w:hint="eastAsia"/>
          <w:color w:val="auto"/>
          <w:lang w:val="en"/>
        </w:rPr>
        <w:t>具备区分手术病历、非手术病历，设置不同的质控分值功能。</w:t>
      </w:r>
    </w:p>
    <w:p w14:paraId="3031F051">
      <w:pPr>
        <w:pStyle w:val="45"/>
        <w:spacing w:before="0" w:beforeAutospacing="0" w:after="0" w:afterAutospacing="0"/>
        <w:rPr>
          <w:rFonts w:hint="eastAsia"/>
          <w:color w:val="auto"/>
          <w:lang w:val="en"/>
        </w:rPr>
      </w:pPr>
      <w:r>
        <w:rPr>
          <w:rFonts w:hint="eastAsia"/>
          <w:color w:val="auto"/>
          <w:lang w:val="en"/>
        </w:rPr>
        <w:t>支持与住院电子病历系统对接，实现病历文书缺陷问题整改下发、答复功能。</w:t>
      </w:r>
    </w:p>
    <w:p w14:paraId="06DD1ECF">
      <w:pPr>
        <w:pStyle w:val="4"/>
        <w:rPr>
          <w:rFonts w:hint="eastAsia"/>
          <w:color w:val="auto"/>
          <w:lang w:val="en"/>
        </w:rPr>
      </w:pPr>
      <w:r>
        <w:rPr>
          <w:rFonts w:hint="eastAsia"/>
          <w:color w:val="auto"/>
          <w:lang w:val="en"/>
        </w:rPr>
        <w:t xml:space="preserve">重点患者监管 </w:t>
      </w:r>
    </w:p>
    <w:p w14:paraId="6BF39455">
      <w:pPr>
        <w:pStyle w:val="45"/>
        <w:autoSpaceDE w:val="0"/>
        <w:spacing w:before="0" w:beforeAutospacing="0" w:after="0" w:afterAutospacing="0"/>
        <w:rPr>
          <w:rFonts w:hint="eastAsia"/>
          <w:color w:val="auto"/>
          <w:lang w:val="en"/>
        </w:rPr>
      </w:pPr>
      <w:r>
        <w:rPr>
          <w:rFonts w:hint="eastAsia"/>
          <w:color w:val="auto"/>
          <w:lang w:val="en"/>
        </w:rPr>
        <w:t>提供重点病例患者监测和筛查功能，让医务科快速、分类查看本日新增和在院的重点病例情况，有利于管理者及时有效的了解临床患者情况。</w:t>
      </w:r>
    </w:p>
    <w:p w14:paraId="7A8E765D">
      <w:pPr>
        <w:pStyle w:val="45"/>
        <w:autoSpaceDE w:val="0"/>
        <w:spacing w:before="0" w:beforeAutospacing="0" w:after="0" w:afterAutospacing="0"/>
        <w:rPr>
          <w:rFonts w:hint="eastAsia"/>
          <w:color w:val="auto"/>
          <w:lang w:val="en"/>
        </w:rPr>
      </w:pPr>
      <w:r>
        <w:rPr>
          <w:rFonts w:hint="eastAsia"/>
          <w:color w:val="auto"/>
          <w:lang w:val="en"/>
        </w:rPr>
        <w:t>具备查看当月及指定日期范围内的重点病例在院变化数据。</w:t>
      </w:r>
    </w:p>
    <w:p w14:paraId="465FC6CB">
      <w:pPr>
        <w:pStyle w:val="45"/>
        <w:autoSpaceDE w:val="0"/>
        <w:spacing w:before="0" w:beforeAutospacing="0" w:after="0" w:afterAutospacing="0"/>
        <w:rPr>
          <w:rFonts w:hint="eastAsia"/>
          <w:color w:val="auto"/>
          <w:lang w:val="en"/>
        </w:rPr>
      </w:pPr>
      <w:r>
        <w:rPr>
          <w:rFonts w:hint="eastAsia"/>
          <w:color w:val="auto"/>
          <w:lang w:val="en"/>
        </w:rPr>
        <w:t>具备查看重点病例的当日新增和已发生患者总计数据。</w:t>
      </w:r>
    </w:p>
    <w:p w14:paraId="635A4112">
      <w:pPr>
        <w:pStyle w:val="45"/>
        <w:autoSpaceDE w:val="0"/>
        <w:spacing w:before="0" w:beforeAutospacing="0" w:after="0" w:afterAutospacing="0"/>
        <w:rPr>
          <w:rFonts w:hint="eastAsia"/>
          <w:color w:val="auto"/>
          <w:lang w:val="en"/>
        </w:rPr>
      </w:pPr>
      <w:r>
        <w:rPr>
          <w:rFonts w:hint="eastAsia"/>
          <w:color w:val="auto"/>
          <w:lang w:val="en"/>
        </w:rPr>
        <w:t>具备查看住院患者的入区、在区、出区、出院数据。</w:t>
      </w:r>
    </w:p>
    <w:p w14:paraId="187F3BE3">
      <w:pPr>
        <w:pStyle w:val="45"/>
        <w:autoSpaceDE w:val="0"/>
        <w:spacing w:before="0" w:beforeAutospacing="0" w:after="0" w:afterAutospacing="0"/>
        <w:rPr>
          <w:rFonts w:hint="eastAsia"/>
          <w:color w:val="auto"/>
          <w:lang w:val="en"/>
        </w:rPr>
      </w:pPr>
      <w:r>
        <w:rPr>
          <w:rFonts w:hint="eastAsia"/>
          <w:color w:val="auto"/>
          <w:lang w:val="en"/>
        </w:rPr>
        <w:t>具备查看手术相关重点病例，包括四级手术、重大手术、非计划二次手术重点病例数据</w:t>
      </w:r>
    </w:p>
    <w:p w14:paraId="64293FF7">
      <w:pPr>
        <w:pStyle w:val="45"/>
        <w:autoSpaceDE w:val="0"/>
        <w:spacing w:before="0" w:beforeAutospacing="0" w:after="0" w:afterAutospacing="0"/>
        <w:rPr>
          <w:rFonts w:hint="eastAsia"/>
          <w:color w:val="auto"/>
          <w:lang w:val="en"/>
        </w:rPr>
      </w:pPr>
      <w:r>
        <w:rPr>
          <w:rFonts w:hint="eastAsia"/>
          <w:color w:val="auto"/>
          <w:lang w:val="en"/>
        </w:rPr>
        <w:t>具备查看流转相关重点病例功能，包括住院超 30天、24 小时内出入院、转科重点病例数据。</w:t>
      </w:r>
    </w:p>
    <w:p w14:paraId="1D87D208">
      <w:pPr>
        <w:pStyle w:val="45"/>
        <w:autoSpaceDE w:val="0"/>
        <w:spacing w:before="0" w:beforeAutospacing="0" w:after="0" w:afterAutospacing="0"/>
        <w:rPr>
          <w:rFonts w:hint="eastAsia"/>
          <w:color w:val="auto"/>
          <w:lang w:val="en"/>
        </w:rPr>
      </w:pPr>
      <w:r>
        <w:rPr>
          <w:rFonts w:hint="eastAsia"/>
          <w:color w:val="auto"/>
          <w:lang w:val="en"/>
        </w:rPr>
        <w:t>具备查看死亡、病危、抢救、危急值重点病例数据功能。</w:t>
      </w:r>
    </w:p>
    <w:p w14:paraId="7E913493">
      <w:pPr>
        <w:pStyle w:val="45"/>
        <w:autoSpaceDE w:val="0"/>
        <w:spacing w:before="0" w:beforeAutospacing="0" w:after="0" w:afterAutospacing="0"/>
        <w:rPr>
          <w:rFonts w:hint="eastAsia"/>
          <w:color w:val="auto"/>
          <w:lang w:val="en"/>
        </w:rPr>
      </w:pPr>
      <w:r>
        <w:rPr>
          <w:rFonts w:hint="eastAsia"/>
          <w:color w:val="auto"/>
          <w:lang w:val="en"/>
        </w:rPr>
        <w:t>具备查看重点病例患者明细列表功能。</w:t>
      </w:r>
    </w:p>
    <w:p w14:paraId="239AEA09">
      <w:pPr>
        <w:pStyle w:val="45"/>
        <w:autoSpaceDE w:val="0"/>
        <w:spacing w:before="0" w:beforeAutospacing="0" w:after="0" w:afterAutospacing="0"/>
        <w:rPr>
          <w:rFonts w:hint="eastAsia"/>
          <w:color w:val="auto"/>
          <w:lang w:val="en"/>
        </w:rPr>
      </w:pPr>
      <w:r>
        <w:rPr>
          <w:rFonts w:hint="eastAsia"/>
          <w:color w:val="auto"/>
          <w:lang w:val="en"/>
        </w:rPr>
        <w:t>具备自定义重点病例名称以及标签颜色功能。</w:t>
      </w:r>
    </w:p>
    <w:p w14:paraId="09110DDA">
      <w:pPr>
        <w:pStyle w:val="4"/>
        <w:rPr>
          <w:rFonts w:hint="eastAsia"/>
          <w:color w:val="auto"/>
          <w:lang w:val="en"/>
        </w:rPr>
      </w:pPr>
      <w:r>
        <w:rPr>
          <w:rFonts w:hint="eastAsia"/>
          <w:color w:val="auto"/>
          <w:lang w:val="en"/>
        </w:rPr>
        <w:t>院内会诊质控</w:t>
      </w:r>
    </w:p>
    <w:p w14:paraId="6E4D089C">
      <w:pPr>
        <w:pStyle w:val="45"/>
        <w:autoSpaceDE w:val="0"/>
        <w:spacing w:before="0" w:beforeAutospacing="0" w:after="0" w:afterAutospacing="0"/>
        <w:rPr>
          <w:rFonts w:hint="eastAsia"/>
          <w:color w:val="auto"/>
          <w:lang w:val="en"/>
        </w:rPr>
      </w:pPr>
      <w:r>
        <w:rPr>
          <w:rFonts w:hint="eastAsia"/>
          <w:color w:val="auto"/>
          <w:lang w:val="en"/>
        </w:rPr>
        <w:t>具备院内</w:t>
      </w:r>
      <w:r>
        <w:rPr>
          <w:rFonts w:hint="eastAsia"/>
          <w:color w:val="auto"/>
          <w:lang w:val="en-US" w:eastAsia="zh-CN"/>
        </w:rPr>
        <w:t>多学科会诊</w:t>
      </w:r>
      <w:r>
        <w:rPr>
          <w:rFonts w:hint="eastAsia"/>
          <w:color w:val="auto"/>
          <w:lang w:val="en"/>
        </w:rPr>
        <w:t>跟踪管理功能，医务管理人员对院内</w:t>
      </w:r>
      <w:r>
        <w:rPr>
          <w:rFonts w:hint="eastAsia"/>
          <w:color w:val="auto"/>
          <w:lang w:val="en-US" w:eastAsia="zh-CN"/>
        </w:rPr>
        <w:t>多学科会诊</w:t>
      </w:r>
      <w:r>
        <w:rPr>
          <w:rFonts w:hint="eastAsia"/>
          <w:color w:val="auto"/>
          <w:lang w:val="en"/>
        </w:rPr>
        <w:t>进行申请、审批、安排、跟踪。</w:t>
      </w:r>
    </w:p>
    <w:p w14:paraId="1C502D27">
      <w:pPr>
        <w:pStyle w:val="45"/>
        <w:autoSpaceDE w:val="0"/>
        <w:spacing w:before="0" w:beforeAutospacing="0" w:after="0" w:afterAutospacing="0"/>
        <w:rPr>
          <w:rFonts w:hint="eastAsia"/>
          <w:color w:val="auto"/>
          <w:lang w:val="en"/>
        </w:rPr>
      </w:pPr>
      <w:r>
        <w:rPr>
          <w:rFonts w:hint="eastAsia"/>
          <w:color w:val="auto"/>
          <w:lang w:val="en"/>
        </w:rPr>
        <w:t>具备院外会诊申请、审批管理，医务管理人员可调整邀请</w:t>
      </w:r>
      <w:r>
        <w:rPr>
          <w:rFonts w:hint="eastAsia"/>
          <w:strike w:val="0"/>
          <w:dstrike w:val="0"/>
          <w:color w:val="auto"/>
          <w:lang w:val="en"/>
        </w:rPr>
        <w:t>院区</w:t>
      </w:r>
      <w:r>
        <w:rPr>
          <w:rFonts w:hint="eastAsia"/>
          <w:strike w:val="0"/>
          <w:dstrike w:val="0"/>
          <w:color w:val="auto"/>
          <w:lang w:val="en" w:eastAsia="zh-CN"/>
        </w:rPr>
        <w:t>（</w:t>
      </w:r>
      <w:r>
        <w:rPr>
          <w:rFonts w:hint="eastAsia"/>
          <w:strike w:val="0"/>
          <w:dstrike w:val="0"/>
          <w:color w:val="auto"/>
          <w:lang w:val="en-US" w:eastAsia="zh-CN"/>
        </w:rPr>
        <w:t>或其他医院</w:t>
      </w:r>
      <w:r>
        <w:rPr>
          <w:rFonts w:hint="eastAsia"/>
          <w:strike w:val="0"/>
          <w:dstrike w:val="0"/>
          <w:color w:val="auto"/>
          <w:lang w:val="en" w:eastAsia="zh-CN"/>
        </w:rPr>
        <w:t>）</w:t>
      </w:r>
      <w:r>
        <w:rPr>
          <w:rFonts w:hint="eastAsia"/>
          <w:strike w:val="0"/>
          <w:dstrike w:val="0"/>
          <w:color w:val="auto"/>
          <w:lang w:val="en-US" w:eastAsia="zh-CN"/>
        </w:rPr>
        <w:t>、</w:t>
      </w:r>
      <w:r>
        <w:rPr>
          <w:rFonts w:hint="eastAsia"/>
          <w:color w:val="auto"/>
          <w:lang w:val="en"/>
        </w:rPr>
        <w:t>科室、邀请专家及邀请时间，完成后打印会诊邀请函。</w:t>
      </w:r>
    </w:p>
    <w:p w14:paraId="3048A11E">
      <w:pPr>
        <w:pStyle w:val="4"/>
        <w:rPr>
          <w:rFonts w:hint="eastAsia"/>
          <w:color w:val="auto"/>
          <w:lang w:val="en"/>
        </w:rPr>
      </w:pPr>
      <w:r>
        <w:rPr>
          <w:rFonts w:hint="eastAsia"/>
          <w:color w:val="auto"/>
          <w:lang w:val="en"/>
        </w:rPr>
        <w:t>手术分级管理</w:t>
      </w:r>
    </w:p>
    <w:p w14:paraId="6D59BF8E">
      <w:pPr>
        <w:pStyle w:val="45"/>
        <w:spacing w:before="0" w:beforeAutospacing="0" w:after="0" w:afterAutospacing="0"/>
        <w:rPr>
          <w:rFonts w:hint="eastAsia"/>
          <w:color w:val="auto"/>
          <w:lang w:val="en"/>
        </w:rPr>
      </w:pPr>
      <w:r>
        <w:rPr>
          <w:rFonts w:hint="eastAsia"/>
          <w:color w:val="auto"/>
          <w:lang w:val="en"/>
        </w:rPr>
        <w:t>对患者重大手术、非计划再次手术进行医务报批管理，根据院内要求填写上报单据，并进行科主任、医务科审批流程，审核通过后安排手术。</w:t>
      </w:r>
    </w:p>
    <w:p w14:paraId="2716AB9D">
      <w:pPr>
        <w:pStyle w:val="45"/>
        <w:spacing w:before="0" w:beforeAutospacing="0" w:after="0" w:afterAutospacing="0"/>
        <w:rPr>
          <w:rFonts w:hint="eastAsia"/>
          <w:color w:val="auto"/>
          <w:lang w:val="en"/>
        </w:rPr>
      </w:pPr>
      <w:r>
        <w:rPr>
          <w:rFonts w:hint="eastAsia"/>
          <w:color w:val="auto"/>
          <w:lang w:val="en"/>
        </w:rPr>
        <w:t>具备手术权限授权和取消功能，可按照手术等级、手术分类、手术名称三种方式对医师进行手术授权。</w:t>
      </w:r>
    </w:p>
    <w:p w14:paraId="2BC277C9">
      <w:pPr>
        <w:pStyle w:val="45"/>
        <w:spacing w:before="0" w:beforeAutospacing="0" w:after="0" w:afterAutospacing="0"/>
        <w:rPr>
          <w:rFonts w:hint="eastAsia"/>
          <w:color w:val="auto"/>
          <w:lang w:val="en"/>
        </w:rPr>
      </w:pPr>
      <w:r>
        <w:rPr>
          <w:rFonts w:hint="eastAsia"/>
          <w:color w:val="auto"/>
          <w:lang w:val="en"/>
        </w:rPr>
        <w:t>具备越级手术权限申请审批功能，医生根据手术名称申请手术临时授权，并在到期后收回权限。</w:t>
      </w:r>
    </w:p>
    <w:p w14:paraId="5E7A1403">
      <w:pPr>
        <w:pStyle w:val="45"/>
        <w:spacing w:before="0" w:beforeAutospacing="0" w:after="0" w:afterAutospacing="0"/>
        <w:rPr>
          <w:rFonts w:hint="eastAsia"/>
          <w:color w:val="auto"/>
          <w:lang w:val="en"/>
        </w:rPr>
      </w:pPr>
      <w:r>
        <w:rPr>
          <w:rFonts w:hint="eastAsia"/>
          <w:color w:val="auto"/>
          <w:lang w:val="en"/>
        </w:rPr>
        <w:t>具备重大手术/非计划再次手术申请审批功能，支持动态角色审批配置功能。</w:t>
      </w:r>
    </w:p>
    <w:p w14:paraId="0C5EA790">
      <w:pPr>
        <w:pStyle w:val="45"/>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支持与住院医生站系统对接，在住院医生站进行重大手术/非计划再次手术申报，临床医生无需切换系统。</w:t>
      </w:r>
      <w:r>
        <w:rPr>
          <w:rFonts w:hint="eastAsia"/>
          <w:color w:val="auto"/>
          <w:lang w:val="en" w:eastAsia="zh-CN"/>
        </w:rPr>
        <w:t>（</w:t>
      </w:r>
      <w:r>
        <w:rPr>
          <w:rFonts w:hint="eastAsia"/>
          <w:color w:val="auto"/>
          <w:lang w:val="en-US" w:eastAsia="zh-CN"/>
        </w:rPr>
        <w:t>投标人需提供在住院医生站手术医嘱开立界面可勾选“重大手术”、“非计划再次手术”的功能截图，以及勾选后系统提示需进行特殊手术报批单补办流程的界面截图）</w:t>
      </w:r>
    </w:p>
    <w:p w14:paraId="264EE514">
      <w:pPr>
        <w:pStyle w:val="45"/>
        <w:spacing w:before="0" w:beforeAutospacing="0" w:after="0" w:afterAutospacing="0"/>
        <w:rPr>
          <w:rFonts w:hint="eastAsia"/>
          <w:color w:val="auto"/>
          <w:lang w:val="en"/>
        </w:rPr>
      </w:pPr>
      <w:r>
        <w:rPr>
          <w:rFonts w:hint="eastAsia"/>
          <w:color w:val="auto"/>
          <w:lang w:val="en"/>
        </w:rPr>
        <w:t>支持与住院医生站系统对接，实现开立手术时提供权限范围内的主刀医师名单功能。</w:t>
      </w:r>
    </w:p>
    <w:p w14:paraId="3BB6F8B9">
      <w:pPr>
        <w:pStyle w:val="45"/>
        <w:spacing w:before="0" w:beforeAutospacing="0" w:after="0" w:afterAutospacing="0"/>
        <w:rPr>
          <w:rFonts w:hint="eastAsia"/>
          <w:color w:val="auto"/>
          <w:lang w:val="en"/>
        </w:rPr>
      </w:pPr>
      <w:r>
        <w:rPr>
          <w:rFonts w:hint="eastAsia"/>
          <w:color w:val="auto"/>
          <w:lang w:val="en"/>
        </w:rPr>
        <w:t>支持与住院医生站系统对接，实现开立手术医嘱与重大手术审批结果过程关联功能，要求重大手术审批通过后，对应手术医嘱才可签署通过。</w:t>
      </w:r>
    </w:p>
    <w:p w14:paraId="4AE0FAF9">
      <w:pPr>
        <w:pStyle w:val="3"/>
        <w:rPr>
          <w:rFonts w:hint="eastAsia"/>
          <w:color w:val="auto"/>
        </w:rPr>
      </w:pPr>
      <w:r>
        <w:rPr>
          <w:rFonts w:hint="eastAsia"/>
          <w:color w:val="auto"/>
        </w:rPr>
        <w:t>医师人力资源管理</w:t>
      </w:r>
    </w:p>
    <w:p w14:paraId="4248AA87">
      <w:pPr>
        <w:pStyle w:val="4"/>
        <w:rPr>
          <w:color w:val="auto"/>
          <w:lang w:val="en"/>
        </w:rPr>
      </w:pPr>
      <w:r>
        <w:rPr>
          <w:rFonts w:hint="eastAsia"/>
          <w:color w:val="auto"/>
          <w:lang w:val="en"/>
        </w:rPr>
        <w:t>医师档案管理</w:t>
      </w:r>
    </w:p>
    <w:p w14:paraId="3408F913">
      <w:pPr>
        <w:pStyle w:val="5"/>
        <w:rPr>
          <w:rFonts w:hint="eastAsia"/>
          <w:color w:val="auto"/>
          <w:lang w:val="en"/>
        </w:rPr>
      </w:pPr>
      <w:r>
        <w:rPr>
          <w:rFonts w:hint="eastAsia"/>
          <w:color w:val="auto"/>
          <w:lang w:val="en"/>
        </w:rPr>
        <w:t xml:space="preserve">医师基本档案管理 </w:t>
      </w:r>
    </w:p>
    <w:p w14:paraId="574826D7">
      <w:pPr>
        <w:pStyle w:val="45"/>
        <w:autoSpaceDE w:val="0"/>
        <w:spacing w:before="0" w:beforeAutospacing="0" w:after="0" w:afterAutospacing="0"/>
        <w:rPr>
          <w:rFonts w:hint="eastAsia"/>
          <w:color w:val="auto"/>
          <w:lang w:val="en"/>
        </w:rPr>
      </w:pPr>
      <w:r>
        <w:rPr>
          <w:rFonts w:hint="eastAsia"/>
          <w:color w:val="auto"/>
          <w:lang w:val="en"/>
        </w:rPr>
        <w:t>需提供医师档案管理功能，用于管理医师的个人信息、专业资质、工作记录等。</w:t>
      </w:r>
    </w:p>
    <w:p w14:paraId="0606F740">
      <w:pPr>
        <w:pStyle w:val="45"/>
        <w:autoSpaceDE w:val="0"/>
        <w:spacing w:before="0" w:beforeAutospacing="0" w:after="0" w:afterAutospacing="0"/>
        <w:rPr>
          <w:rFonts w:hint="eastAsia"/>
          <w:color w:val="auto"/>
          <w:lang w:val="en"/>
        </w:rPr>
      </w:pPr>
      <w:r>
        <w:rPr>
          <w:rFonts w:hint="eastAsia"/>
          <w:color w:val="auto"/>
          <w:lang w:val="en"/>
        </w:rPr>
        <w:t>具备医师档案基本信息个人登记和附件上传功能。</w:t>
      </w:r>
    </w:p>
    <w:p w14:paraId="5448105D">
      <w:pPr>
        <w:pStyle w:val="45"/>
        <w:autoSpaceDE w:val="0"/>
        <w:spacing w:before="0" w:beforeAutospacing="0" w:after="0" w:afterAutospacing="0"/>
        <w:rPr>
          <w:rFonts w:hint="eastAsia"/>
          <w:color w:val="auto"/>
          <w:lang w:val="en"/>
        </w:rPr>
      </w:pPr>
      <w:r>
        <w:rPr>
          <w:rFonts w:hint="eastAsia"/>
          <w:color w:val="auto"/>
          <w:lang w:val="en"/>
        </w:rPr>
        <w:t>具备教育经历相关信息登记及材料上传功能，包括学校、学历、学位、起止时间、专业。</w:t>
      </w:r>
    </w:p>
    <w:p w14:paraId="6BA8AFE0">
      <w:pPr>
        <w:pStyle w:val="45"/>
        <w:autoSpaceDE w:val="0"/>
        <w:spacing w:before="0" w:beforeAutospacing="0" w:after="0" w:afterAutospacing="0"/>
        <w:rPr>
          <w:rFonts w:hint="eastAsia"/>
          <w:color w:val="auto"/>
          <w:lang w:val="en"/>
        </w:rPr>
      </w:pPr>
      <w:r>
        <w:rPr>
          <w:rFonts w:hint="eastAsia"/>
          <w:color w:val="auto"/>
          <w:lang w:val="en"/>
        </w:rPr>
        <w:t>具备工作经历相关信息登记及材料上传功能，包括工作单位、部门、岗位、起止时间。</w:t>
      </w:r>
    </w:p>
    <w:p w14:paraId="41701A63">
      <w:pPr>
        <w:pStyle w:val="45"/>
        <w:autoSpaceDE w:val="0"/>
        <w:spacing w:before="0" w:beforeAutospacing="0" w:after="0" w:afterAutospacing="0"/>
        <w:rPr>
          <w:rFonts w:hint="eastAsia"/>
          <w:color w:val="auto"/>
          <w:lang w:val="en"/>
        </w:rPr>
      </w:pPr>
      <w:r>
        <w:rPr>
          <w:rFonts w:hint="eastAsia"/>
          <w:color w:val="auto"/>
          <w:lang w:val="en"/>
        </w:rPr>
        <w:t>具备职称信息相关信息登记及材料上传功能，包括职称名称、编码、聘任职称、专业、考取时间。</w:t>
      </w:r>
    </w:p>
    <w:p w14:paraId="04B1251B">
      <w:pPr>
        <w:pStyle w:val="45"/>
        <w:autoSpaceDE w:val="0"/>
        <w:spacing w:before="0" w:beforeAutospacing="0" w:after="0" w:afterAutospacing="0"/>
        <w:rPr>
          <w:rFonts w:hint="eastAsia"/>
          <w:color w:val="auto"/>
          <w:lang w:val="en"/>
        </w:rPr>
      </w:pPr>
      <w:r>
        <w:rPr>
          <w:rFonts w:hint="eastAsia"/>
          <w:color w:val="auto"/>
          <w:lang w:val="en"/>
        </w:rPr>
        <w:t>具备证书信息相关信息登记及材料上传功能，包括资格证书、执业证书。</w:t>
      </w:r>
    </w:p>
    <w:p w14:paraId="1AE927D2">
      <w:pPr>
        <w:pStyle w:val="45"/>
        <w:autoSpaceDE w:val="0"/>
        <w:spacing w:before="0" w:beforeAutospacing="0" w:after="0" w:afterAutospacing="0"/>
        <w:rPr>
          <w:rFonts w:hint="eastAsia"/>
          <w:color w:val="auto"/>
          <w:lang w:val="en"/>
        </w:rPr>
      </w:pPr>
      <w:r>
        <w:rPr>
          <w:rFonts w:hint="eastAsia"/>
          <w:color w:val="auto"/>
          <w:lang w:val="en"/>
        </w:rPr>
        <w:t>具备多点执业备案登记及材料上传功能，包括多执业机构名称、开始时间、结束时间。</w:t>
      </w:r>
    </w:p>
    <w:p w14:paraId="7DA960CD">
      <w:pPr>
        <w:pStyle w:val="45"/>
        <w:autoSpaceDE w:val="0"/>
        <w:spacing w:before="0" w:beforeAutospacing="0" w:after="0" w:afterAutospacing="0"/>
        <w:rPr>
          <w:rFonts w:hint="eastAsia"/>
          <w:color w:val="auto"/>
          <w:lang w:val="en"/>
        </w:rPr>
      </w:pPr>
      <w:r>
        <w:rPr>
          <w:rFonts w:hint="eastAsia"/>
          <w:color w:val="auto"/>
          <w:lang w:val="en"/>
        </w:rPr>
        <w:t>具备培训记录相关信息登记功能。</w:t>
      </w:r>
    </w:p>
    <w:p w14:paraId="65F39D8B">
      <w:pPr>
        <w:pStyle w:val="45"/>
        <w:autoSpaceDE w:val="0"/>
        <w:spacing w:before="0" w:beforeAutospacing="0" w:after="0" w:afterAutospacing="0"/>
        <w:rPr>
          <w:rFonts w:hint="eastAsia"/>
          <w:color w:val="auto"/>
          <w:lang w:val="en"/>
        </w:rPr>
      </w:pPr>
      <w:r>
        <w:rPr>
          <w:rFonts w:hint="eastAsia"/>
          <w:color w:val="auto"/>
          <w:lang w:val="en"/>
        </w:rPr>
        <w:t>具备考试记录相关信息登记功能。</w:t>
      </w:r>
    </w:p>
    <w:p w14:paraId="4DEFCE1D">
      <w:pPr>
        <w:pStyle w:val="45"/>
        <w:autoSpaceDE w:val="0"/>
        <w:spacing w:before="0" w:beforeAutospacing="0" w:after="0" w:afterAutospacing="0"/>
        <w:rPr>
          <w:rFonts w:hint="eastAsia"/>
          <w:color w:val="auto"/>
          <w:lang w:val="en"/>
        </w:rPr>
      </w:pPr>
      <w:r>
        <w:rPr>
          <w:rFonts w:hint="eastAsia"/>
          <w:color w:val="auto"/>
          <w:lang w:val="en"/>
        </w:rPr>
        <w:t>具备医师个人档案信息保存、提交、审核、退回流程操作功能。</w:t>
      </w:r>
    </w:p>
    <w:p w14:paraId="03C3089A">
      <w:pPr>
        <w:pStyle w:val="45"/>
        <w:autoSpaceDE w:val="0"/>
        <w:spacing w:before="0" w:beforeAutospacing="0" w:after="0" w:afterAutospacing="0"/>
        <w:rPr>
          <w:rFonts w:hint="eastAsia"/>
          <w:color w:val="auto"/>
          <w:lang w:val="en"/>
        </w:rPr>
      </w:pPr>
      <w:r>
        <w:rPr>
          <w:rFonts w:hint="eastAsia"/>
          <w:color w:val="auto"/>
          <w:lang w:val="en"/>
        </w:rPr>
        <w:t>具备不同管理层级查看管辖范围内的档案信息功能。</w:t>
      </w:r>
    </w:p>
    <w:p w14:paraId="6C2DBC28">
      <w:pPr>
        <w:pStyle w:val="45"/>
        <w:autoSpaceDE w:val="0"/>
        <w:spacing w:before="0" w:beforeAutospacing="0" w:after="0" w:afterAutospacing="0"/>
        <w:rPr>
          <w:rFonts w:hint="eastAsia"/>
          <w:color w:val="auto"/>
          <w:lang w:val="en"/>
        </w:rPr>
      </w:pPr>
      <w:r>
        <w:rPr>
          <w:rFonts w:hint="eastAsia"/>
          <w:color w:val="auto"/>
          <w:lang w:val="en"/>
        </w:rPr>
        <w:t>具备医师基础档案信息更新清单EXCEL导入功能。</w:t>
      </w:r>
    </w:p>
    <w:p w14:paraId="31983DEC">
      <w:pPr>
        <w:pStyle w:val="45"/>
        <w:autoSpaceDE w:val="0"/>
        <w:spacing w:before="0" w:beforeAutospacing="0" w:after="0" w:afterAutospacing="0"/>
        <w:rPr>
          <w:rFonts w:hint="eastAsia"/>
          <w:color w:val="auto"/>
          <w:lang w:val="en"/>
        </w:rPr>
      </w:pPr>
      <w:r>
        <w:rPr>
          <w:rFonts w:hint="eastAsia"/>
          <w:color w:val="auto"/>
          <w:lang w:val="en"/>
        </w:rPr>
        <w:t>具备医师培训记录信息更新清单EXCEL导入功能。</w:t>
      </w:r>
    </w:p>
    <w:p w14:paraId="388C5616">
      <w:pPr>
        <w:pStyle w:val="45"/>
        <w:autoSpaceDE w:val="0"/>
        <w:spacing w:before="0" w:beforeAutospacing="0" w:after="0" w:afterAutospacing="0"/>
        <w:rPr>
          <w:rFonts w:hint="eastAsia"/>
          <w:color w:val="auto"/>
          <w:lang w:val="en"/>
        </w:rPr>
      </w:pPr>
      <w:r>
        <w:rPr>
          <w:rFonts w:hint="eastAsia"/>
          <w:color w:val="auto"/>
          <w:lang w:val="en"/>
        </w:rPr>
        <w:t>具备医师考试记录信息更新清单EXCEL导入功能。</w:t>
      </w:r>
    </w:p>
    <w:p w14:paraId="7ACF4B2D">
      <w:pPr>
        <w:pStyle w:val="45"/>
        <w:autoSpaceDE w:val="0"/>
        <w:spacing w:before="0" w:beforeAutospacing="0" w:after="0" w:afterAutospacing="0"/>
        <w:rPr>
          <w:rFonts w:hint="eastAsia"/>
          <w:color w:val="auto"/>
          <w:lang w:val="en"/>
        </w:rPr>
      </w:pPr>
      <w:r>
        <w:rPr>
          <w:rFonts w:hint="eastAsia"/>
          <w:color w:val="auto"/>
          <w:lang w:val="en"/>
        </w:rPr>
        <w:t>具备预览医务人员执业档案表功能，生成PDF文件。</w:t>
      </w:r>
    </w:p>
    <w:p w14:paraId="7D83FE98">
      <w:pPr>
        <w:pStyle w:val="5"/>
        <w:rPr>
          <w:rFonts w:hint="eastAsia"/>
          <w:color w:val="auto"/>
          <w:lang w:val="en"/>
        </w:rPr>
      </w:pPr>
      <w:r>
        <w:rPr>
          <w:rFonts w:hint="eastAsia"/>
          <w:color w:val="auto"/>
          <w:lang w:val="en"/>
        </w:rPr>
        <w:t xml:space="preserve">医师技术档案管理 </w:t>
      </w:r>
    </w:p>
    <w:p w14:paraId="1A30ADEE">
      <w:pPr>
        <w:rPr>
          <w:rFonts w:hint="default"/>
          <w:color w:val="auto"/>
          <w:lang w:val="en-US" w:eastAsia="zh-CN"/>
        </w:rPr>
      </w:pPr>
      <w:r>
        <w:rPr>
          <w:rFonts w:hint="eastAsia"/>
          <w:color w:val="auto"/>
          <w:lang w:val="en-US" w:eastAsia="zh-CN"/>
        </w:rPr>
        <w:t xml:space="preserve">     具备医疗技术相关授权信息的上传和变更功能，包括获得时间、依据、取消时间或变更时间及项目等。</w:t>
      </w:r>
    </w:p>
    <w:p w14:paraId="0FC6E179">
      <w:pPr>
        <w:rPr>
          <w:rFonts w:hint="default"/>
          <w:color w:val="auto"/>
          <w:lang w:val="en-US" w:eastAsia="zh-CN"/>
        </w:rPr>
      </w:pPr>
    </w:p>
    <w:p w14:paraId="4BCB1A29">
      <w:pPr>
        <w:pStyle w:val="45"/>
        <w:autoSpaceDE w:val="0"/>
        <w:spacing w:before="0" w:beforeAutospacing="0" w:after="0" w:afterAutospacing="0"/>
        <w:rPr>
          <w:rFonts w:hint="eastAsia"/>
          <w:color w:val="auto"/>
          <w:lang w:val="en"/>
        </w:rPr>
      </w:pPr>
      <w:r>
        <w:rPr>
          <w:rFonts w:hint="eastAsia"/>
          <w:color w:val="auto"/>
          <w:lang w:val="en"/>
        </w:rPr>
        <w:t>具备学术论文相关信息登记及材料上传功能，包括刊物名称、发表时间、作者属性。</w:t>
      </w:r>
    </w:p>
    <w:p w14:paraId="49B763FF">
      <w:pPr>
        <w:pStyle w:val="45"/>
        <w:autoSpaceDE w:val="0"/>
        <w:spacing w:before="0" w:beforeAutospacing="0" w:after="0" w:afterAutospacing="0"/>
        <w:rPr>
          <w:rFonts w:hint="eastAsia"/>
          <w:color w:val="auto"/>
          <w:lang w:val="en"/>
        </w:rPr>
      </w:pPr>
      <w:r>
        <w:rPr>
          <w:rFonts w:hint="eastAsia"/>
          <w:color w:val="auto"/>
          <w:lang w:val="en"/>
        </w:rPr>
        <w:t>具备科研课题相关信息登记及材料上传功能，包括课题名称、课题来源、承担单位、经费、开始时间、结项时间。</w:t>
      </w:r>
    </w:p>
    <w:p w14:paraId="1B8403F5">
      <w:pPr>
        <w:pStyle w:val="45"/>
        <w:autoSpaceDE w:val="0"/>
        <w:spacing w:before="0" w:beforeAutospacing="0" w:after="0" w:afterAutospacing="0"/>
        <w:rPr>
          <w:rFonts w:hint="eastAsia"/>
          <w:color w:val="auto"/>
          <w:lang w:val="en"/>
        </w:rPr>
      </w:pPr>
      <w:r>
        <w:rPr>
          <w:rFonts w:hint="eastAsia"/>
          <w:color w:val="auto"/>
          <w:lang w:val="en"/>
        </w:rPr>
        <w:t>具备学术会议相关信息登记及材料上传功能，包括会议主题、会议地点、主办单位、会议时间。</w:t>
      </w:r>
    </w:p>
    <w:p w14:paraId="32988B12">
      <w:pPr>
        <w:pStyle w:val="45"/>
        <w:autoSpaceDE w:val="0"/>
        <w:spacing w:before="0" w:beforeAutospacing="0" w:after="0" w:afterAutospacing="0"/>
        <w:rPr>
          <w:rFonts w:hint="eastAsia"/>
          <w:color w:val="auto"/>
          <w:lang w:val="en"/>
        </w:rPr>
      </w:pPr>
      <w:r>
        <w:rPr>
          <w:rFonts w:hint="eastAsia"/>
          <w:color w:val="auto"/>
          <w:lang w:val="en"/>
        </w:rPr>
        <w:t>具备进修经历相关信息登记及材料上传功能，包括进修名称、进修单位、进修科室、进修专业、学习技术、成果。</w:t>
      </w:r>
    </w:p>
    <w:p w14:paraId="211C0CCE">
      <w:pPr>
        <w:pStyle w:val="4"/>
        <w:rPr>
          <w:rFonts w:hint="eastAsia"/>
          <w:color w:val="auto"/>
          <w:lang w:val="en"/>
        </w:rPr>
      </w:pPr>
      <w:r>
        <w:rPr>
          <w:rFonts w:hint="eastAsia"/>
          <w:color w:val="auto"/>
          <w:lang w:val="en"/>
        </w:rPr>
        <w:t xml:space="preserve">医师权限管理 </w:t>
      </w:r>
    </w:p>
    <w:p w14:paraId="4C23F774">
      <w:pPr>
        <w:pStyle w:val="45"/>
        <w:autoSpaceDE w:val="0"/>
        <w:spacing w:before="0" w:beforeAutospacing="0" w:after="0" w:afterAutospacing="0"/>
        <w:rPr>
          <w:rFonts w:hint="eastAsia"/>
          <w:color w:val="auto"/>
          <w:lang w:val="en"/>
        </w:rPr>
      </w:pPr>
      <w:r>
        <w:rPr>
          <w:rFonts w:hint="eastAsia"/>
          <w:color w:val="auto"/>
          <w:lang w:val="en"/>
        </w:rPr>
        <w:t>需提供医师医疗相关权限授权和取消功能，可对药品处方权、用血开立权、会诊权限进行授权，并在业务系统中进行直接管控。</w:t>
      </w:r>
    </w:p>
    <w:p w14:paraId="1AD8F4F6">
      <w:pPr>
        <w:pStyle w:val="45"/>
        <w:autoSpaceDE w:val="0"/>
        <w:spacing w:before="0" w:beforeAutospacing="0" w:after="0" w:afterAutospacing="0"/>
        <w:rPr>
          <w:rFonts w:hint="eastAsia"/>
          <w:color w:val="auto"/>
          <w:lang w:val="en"/>
        </w:rPr>
      </w:pPr>
      <w:r>
        <w:rPr>
          <w:rFonts w:hint="eastAsia"/>
          <w:color w:val="auto"/>
          <w:lang w:val="en"/>
        </w:rPr>
        <w:t>具备医师资质权限集中授权管理功能，并对权限变更进行日志记录。</w:t>
      </w:r>
    </w:p>
    <w:p w14:paraId="103A305A">
      <w:pPr>
        <w:pStyle w:val="45"/>
        <w:autoSpaceDE w:val="0"/>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具备药品处方权限动态授权功能，权限范围包括一般处方权、毒麻精处方权、特殊药品处方权、抗菌药物权限、抗肿瘤药物权限，可设置权限有效授予时间，并与临床业务系统中开立处方/医嘱行为系统管控，控制无权限不允许开立。</w:t>
      </w:r>
      <w:r>
        <w:rPr>
          <w:rFonts w:hint="eastAsia"/>
          <w:color w:val="auto"/>
          <w:lang w:val="en" w:eastAsia="zh-CN"/>
        </w:rPr>
        <w:t>（</w:t>
      </w:r>
      <w:r>
        <w:rPr>
          <w:rFonts w:hint="eastAsia"/>
          <w:color w:val="auto"/>
          <w:lang w:val="en-US" w:eastAsia="zh-CN"/>
        </w:rPr>
        <w:t>投标人需提供药品处方权集中授权界面截图，包括一般处方权、毒麻精处方权、特殊药品处方权，授权时可设置权限失效日期）</w:t>
      </w:r>
    </w:p>
    <w:p w14:paraId="235D9BE7">
      <w:pPr>
        <w:pStyle w:val="45"/>
        <w:autoSpaceDE w:val="0"/>
        <w:spacing w:before="0" w:beforeAutospacing="0" w:after="0" w:afterAutospacing="0"/>
        <w:rPr>
          <w:rFonts w:hint="eastAsia"/>
          <w:color w:val="auto"/>
          <w:lang w:val="en"/>
        </w:rPr>
      </w:pPr>
      <w:r>
        <w:rPr>
          <w:rFonts w:hint="eastAsia"/>
          <w:color w:val="auto"/>
          <w:lang w:val="en"/>
        </w:rPr>
        <w:t>具备诊疗行为权限动态授权功能，权限范围包括用血权限、会诊权限、门诊出诊权限。</w:t>
      </w:r>
    </w:p>
    <w:p w14:paraId="5932B107">
      <w:pPr>
        <w:pStyle w:val="45"/>
        <w:autoSpaceDE w:val="0"/>
        <w:spacing w:before="0" w:beforeAutospacing="0" w:after="0" w:afterAutospacing="0"/>
        <w:rPr>
          <w:rFonts w:hint="eastAsia"/>
          <w:color w:val="auto"/>
          <w:lang w:val="en"/>
        </w:rPr>
      </w:pPr>
      <w:r>
        <w:rPr>
          <w:rFonts w:hint="eastAsia"/>
          <w:color w:val="auto"/>
          <w:lang w:val="en"/>
        </w:rPr>
        <w:t>具备医师权限申请变更功能，医生个人提交权限变更申请，申请待开通权限列表，经科主任、医务科审批后，系统自动启用授权，并在业务系统中生效。</w:t>
      </w:r>
    </w:p>
    <w:p w14:paraId="08BE37A8">
      <w:pPr>
        <w:pStyle w:val="45"/>
        <w:autoSpaceDE w:val="0"/>
        <w:spacing w:before="0" w:beforeAutospacing="0" w:after="0" w:afterAutospacing="0"/>
        <w:rPr>
          <w:rFonts w:hint="eastAsia"/>
          <w:color w:val="auto"/>
          <w:lang w:val="en"/>
        </w:rPr>
      </w:pPr>
      <w:r>
        <w:rPr>
          <w:rFonts w:hint="eastAsia"/>
          <w:color w:val="auto"/>
          <w:lang w:val="en"/>
        </w:rPr>
        <w:t>具备医师可查看个人院内医疗行为授权情况。</w:t>
      </w:r>
    </w:p>
    <w:p w14:paraId="0469E0E8">
      <w:pPr>
        <w:pStyle w:val="45"/>
        <w:autoSpaceDE w:val="0"/>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支持与门诊医生站、住院医生站数据互通和管控，</w:t>
      </w:r>
      <w:r>
        <w:rPr>
          <w:rFonts w:hint="eastAsia"/>
          <w:strike w:val="0"/>
          <w:dstrike w:val="0"/>
          <w:color w:val="auto"/>
          <w:lang w:val="en"/>
        </w:rPr>
        <w:t>根据药品</w:t>
      </w:r>
      <w:r>
        <w:rPr>
          <w:rFonts w:hint="eastAsia"/>
          <w:color w:val="auto"/>
          <w:lang w:val="en"/>
        </w:rPr>
        <w:t>对应医师权限情况进行事中管控，没有授予有效权限则不允许开立。</w:t>
      </w:r>
      <w:r>
        <w:rPr>
          <w:rFonts w:hint="eastAsia"/>
          <w:color w:val="auto"/>
          <w:lang w:val="en" w:eastAsia="zh-CN"/>
        </w:rPr>
        <w:t>（</w:t>
      </w:r>
      <w:r>
        <w:rPr>
          <w:rFonts w:hint="eastAsia"/>
          <w:color w:val="auto"/>
          <w:lang w:val="en-US" w:eastAsia="zh-CN"/>
        </w:rPr>
        <w:t>投标人需提供医生站开立抗菌药物时系统自动进行拦截提示的功能截图）</w:t>
      </w:r>
    </w:p>
    <w:p w14:paraId="009D65EA">
      <w:pPr>
        <w:pStyle w:val="4"/>
        <w:rPr>
          <w:rFonts w:hint="eastAsia"/>
          <w:color w:val="auto"/>
          <w:lang w:val="en"/>
        </w:rPr>
      </w:pPr>
      <w:r>
        <w:rPr>
          <w:rFonts w:hint="eastAsia"/>
          <w:color w:val="auto"/>
          <w:lang w:val="en"/>
        </w:rPr>
        <w:t xml:space="preserve">新技术管理 </w:t>
      </w:r>
    </w:p>
    <w:p w14:paraId="315B6A65">
      <w:pPr>
        <w:pStyle w:val="45"/>
        <w:spacing w:before="0" w:beforeAutospacing="0" w:after="0" w:afterAutospacing="0"/>
        <w:rPr>
          <w:rFonts w:hint="eastAsia"/>
          <w:color w:val="auto"/>
          <w:lang w:val="en"/>
        </w:rPr>
      </w:pPr>
      <w:r>
        <w:rPr>
          <w:rFonts w:hint="eastAsia"/>
          <w:color w:val="auto"/>
          <w:lang w:val="en"/>
        </w:rPr>
        <w:t>需提供新技术新项目管理功能，针对本医疗机构首次应用于临床的诊断和治疗技术在院内管理期限内开展和应用情况进行过程管理、评估管理。</w:t>
      </w:r>
    </w:p>
    <w:p w14:paraId="1B0D7ADD">
      <w:pPr>
        <w:pStyle w:val="45"/>
        <w:spacing w:before="0" w:beforeAutospacing="0" w:after="0" w:afterAutospacing="0"/>
        <w:rPr>
          <w:rFonts w:hint="eastAsia"/>
          <w:color w:val="auto"/>
          <w:lang w:val="en"/>
        </w:rPr>
      </w:pPr>
      <w:r>
        <w:rPr>
          <w:rFonts w:hint="eastAsia"/>
          <w:color w:val="auto"/>
          <w:lang w:val="en"/>
        </w:rPr>
        <w:t>具备新技术新项目开展目录维护功能，允许批量导入新技术目录，目录内的项目作为全院各科室新技术申请和开展范围，针对部分新技术可设置允许开展科室范围。</w:t>
      </w:r>
    </w:p>
    <w:p w14:paraId="6F2F2AEA">
      <w:pPr>
        <w:pStyle w:val="45"/>
        <w:spacing w:before="0" w:beforeAutospacing="0" w:after="0" w:afterAutospacing="0"/>
        <w:rPr>
          <w:rFonts w:hint="eastAsia"/>
          <w:color w:val="auto"/>
          <w:lang w:val="en"/>
        </w:rPr>
      </w:pPr>
      <w:r>
        <w:rPr>
          <w:rFonts w:hint="eastAsia"/>
          <w:color w:val="auto"/>
          <w:lang w:val="en"/>
        </w:rPr>
        <w:t>具备院内可开展新技术各科室发起新技术申请功能，</w:t>
      </w:r>
      <w:r>
        <w:rPr>
          <w:rFonts w:hint="eastAsia"/>
          <w:color w:val="auto"/>
          <w:lang w:val="en-US" w:eastAsia="zh-CN"/>
        </w:rPr>
        <w:t>经医院医疗技术临床应用管理委员会</w:t>
      </w:r>
      <w:r>
        <w:rPr>
          <w:rFonts w:hint="eastAsia"/>
          <w:color w:val="auto"/>
          <w:lang w:val="en"/>
        </w:rPr>
        <w:t>完成审批，同意后方可在科室内部开展新技术，支持动态审批流程。</w:t>
      </w:r>
    </w:p>
    <w:p w14:paraId="7F8E4528">
      <w:pPr>
        <w:pStyle w:val="45"/>
        <w:spacing w:before="0" w:beforeAutospacing="0" w:after="0" w:afterAutospacing="0"/>
        <w:rPr>
          <w:rFonts w:hint="eastAsia"/>
          <w:color w:val="auto"/>
          <w:lang w:val="en"/>
        </w:rPr>
      </w:pPr>
      <w:r>
        <w:rPr>
          <w:rFonts w:hint="eastAsia"/>
          <w:color w:val="auto"/>
          <w:lang w:val="en"/>
        </w:rPr>
        <w:t>具备新技术新项目开展过程中患者跟踪登记功能，对患者不良事件、并发症情况进行评估提交上级部门审核，审核确认纳入新技术开展例数统计。</w:t>
      </w:r>
    </w:p>
    <w:p w14:paraId="10001894">
      <w:pPr>
        <w:pStyle w:val="45"/>
        <w:spacing w:before="0" w:beforeAutospacing="0" w:after="0" w:afterAutospacing="0"/>
        <w:rPr>
          <w:rFonts w:hint="eastAsia"/>
          <w:color w:val="auto"/>
          <w:lang w:val="en"/>
        </w:rPr>
      </w:pPr>
      <w:r>
        <w:rPr>
          <w:rFonts w:hint="eastAsia"/>
          <w:color w:val="auto"/>
          <w:lang w:val="en"/>
        </w:rPr>
        <w:t>具备新技术新项目评价功能，评价新技术继续开展、转常规、中止，支持对评价内容做详情说明。</w:t>
      </w:r>
    </w:p>
    <w:p w14:paraId="6EBBA1C8">
      <w:pPr>
        <w:pStyle w:val="45"/>
        <w:spacing w:before="0" w:beforeAutospacing="0" w:after="0" w:afterAutospacing="0"/>
        <w:rPr>
          <w:rFonts w:hint="eastAsia"/>
          <w:color w:val="auto"/>
          <w:lang w:val="en"/>
        </w:rPr>
      </w:pPr>
      <w:r>
        <w:rPr>
          <w:rFonts w:hint="eastAsia"/>
          <w:color w:val="auto"/>
          <w:lang w:val="en"/>
        </w:rPr>
        <w:t>具备新技术新项目已开展列表导出功能。</w:t>
      </w:r>
    </w:p>
    <w:p w14:paraId="2F3A6274">
      <w:pPr>
        <w:pStyle w:val="45"/>
        <w:spacing w:before="0" w:beforeAutospacing="0" w:after="0" w:afterAutospacing="0"/>
        <w:rPr>
          <w:rFonts w:hint="eastAsia"/>
          <w:color w:val="auto"/>
          <w:lang w:val="en"/>
        </w:rPr>
      </w:pPr>
      <w:r>
        <w:rPr>
          <w:rFonts w:hint="eastAsia"/>
          <w:color w:val="auto"/>
          <w:lang w:val="en"/>
        </w:rPr>
        <w:t>具备新技术新项目开展情况统计功能，按照科室、开展时间、技术类别进行统计，并支持导出。</w:t>
      </w:r>
    </w:p>
    <w:p w14:paraId="7216F797">
      <w:pPr>
        <w:pStyle w:val="3"/>
        <w:rPr>
          <w:color w:val="auto"/>
        </w:rPr>
      </w:pPr>
      <w:r>
        <w:rPr>
          <w:rFonts w:hint="eastAsia"/>
          <w:color w:val="auto"/>
        </w:rPr>
        <w:t>医师交接班管理</w:t>
      </w:r>
    </w:p>
    <w:p w14:paraId="3B128189">
      <w:pPr>
        <w:pStyle w:val="27"/>
        <w:snapToGrid w:val="0"/>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简单易操作的临床科室医师日常排班功能，能够满足排班人员对不同排班场景的使用要求，可灵活设置科室班种、上班时间以及每个班种的工作时长，提高排班人员的工作效率，方便科主任和职能科室即时查看科室和全院的排班情况。</w:t>
      </w:r>
    </w:p>
    <w:p w14:paraId="31627487">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具备医师交接班功能，可提供交班签名和接班签名、二级审核签名功能。</w:t>
      </w:r>
    </w:p>
    <w:p w14:paraId="291D3ECE">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提供多种交班方式，如按科室、按病区、按诊疗组进行分组交接班。</w:t>
      </w:r>
    </w:p>
    <w:p w14:paraId="61FF1D8E">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具备自动统计当天病人动态数据功能，包括新入院患者、病危患者、病重患者、手术患者、危急值患者及其他需特别注意的患者。</w:t>
      </w:r>
    </w:p>
    <w:p w14:paraId="131DBDAF">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支持与临床信息系统对接，交接班时直接引用患者诊疗结果数据，包括医嘱内容、检查报告结果、检验报告结果、住院病历记录。</w:t>
      </w:r>
    </w:p>
    <w:p w14:paraId="7702A808">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具备交接班提交、打印功能。</w:t>
      </w:r>
    </w:p>
    <w:p w14:paraId="3BF5235B">
      <w:pPr>
        <w:pStyle w:val="27"/>
        <w:snapToGrid w:val="0"/>
        <w:spacing w:line="360" w:lineRule="auto"/>
        <w:ind w:firstLine="480"/>
        <w:rPr>
          <w:rFonts w:ascii="宋体" w:hAnsi="宋体" w:eastAsia="宋体" w:cs="宋体"/>
          <w:strike w:val="0"/>
          <w:dstrike w:val="0"/>
          <w:color w:val="auto"/>
          <w:sz w:val="24"/>
          <w:szCs w:val="24"/>
        </w:rPr>
      </w:pPr>
      <w:r>
        <w:rPr>
          <w:rFonts w:hint="eastAsia" w:ascii="宋体" w:hAnsi="宋体" w:eastAsia="宋体" w:cs="宋体"/>
          <w:color w:val="auto"/>
          <w:sz w:val="24"/>
          <w:szCs w:val="24"/>
        </w:rPr>
        <w:t>具备交接班质控管理功能，医务管理科室查看全院科室交接班汇总记录，质控交接班</w:t>
      </w:r>
      <w:r>
        <w:rPr>
          <w:rFonts w:hint="eastAsia" w:ascii="宋体" w:hAnsi="宋体" w:eastAsia="宋体" w:cs="宋体"/>
          <w:strike w:val="0"/>
          <w:dstrike w:val="0"/>
          <w:color w:val="auto"/>
          <w:sz w:val="24"/>
          <w:szCs w:val="24"/>
        </w:rPr>
        <w:t>缺漏结果，对交接班缺陷问题下达整改单，科室医师进行整改答复后管理科室跟踪评价。</w:t>
      </w:r>
    </w:p>
    <w:p w14:paraId="431FF589">
      <w:pPr>
        <w:pStyle w:val="3"/>
        <w:rPr>
          <w:rFonts w:hint="eastAsia"/>
          <w:strike w:val="0"/>
          <w:dstrike w:val="0"/>
          <w:color w:val="auto"/>
        </w:rPr>
      </w:pPr>
      <w:r>
        <w:rPr>
          <w:rFonts w:hint="eastAsia"/>
          <w:strike w:val="0"/>
          <w:dstrike w:val="0"/>
          <w:color w:val="auto"/>
        </w:rPr>
        <w:t xml:space="preserve">医疗日常事务管理 </w:t>
      </w:r>
    </w:p>
    <w:p w14:paraId="5157F7F7">
      <w:pPr>
        <w:pStyle w:val="4"/>
        <w:rPr>
          <w:strike w:val="0"/>
          <w:dstrike w:val="0"/>
          <w:color w:val="auto"/>
          <w:lang w:val="en"/>
        </w:rPr>
      </w:pPr>
      <w:r>
        <w:rPr>
          <w:rFonts w:hint="eastAsia"/>
          <w:strike w:val="0"/>
          <w:dstrike w:val="0"/>
          <w:color w:val="auto"/>
          <w:lang w:val="en"/>
        </w:rPr>
        <w:t>投诉纠纷登记</w:t>
      </w:r>
    </w:p>
    <w:p w14:paraId="3C1B6E86">
      <w:pPr>
        <w:pStyle w:val="5"/>
        <w:rPr>
          <w:rFonts w:hint="eastAsia"/>
          <w:strike w:val="0"/>
          <w:dstrike w:val="0"/>
          <w:color w:val="auto"/>
          <w:lang w:val="en"/>
        </w:rPr>
      </w:pPr>
      <w:r>
        <w:rPr>
          <w:rFonts w:hint="eastAsia"/>
          <w:strike w:val="0"/>
          <w:dstrike w:val="0"/>
          <w:color w:val="auto"/>
          <w:lang w:val="en"/>
        </w:rPr>
        <w:t xml:space="preserve">投诉纠纷登记 </w:t>
      </w:r>
    </w:p>
    <w:p w14:paraId="036BD7C9">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具备投诉受理、意见管理、案件处理流程管理功能。</w:t>
      </w:r>
    </w:p>
    <w:p w14:paraId="5B41E9F9">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具备记录医疗纠纷处理的过程信息功能，并可形成完整的医疗纠纷档案。</w:t>
      </w:r>
    </w:p>
    <w:p w14:paraId="0AB9D8E4">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具备投诉纠纷相关统计分析功能，包括按科室、按员工、按原因、按年度进行统计</w:t>
      </w:r>
    </w:p>
    <w:p w14:paraId="16C257BB">
      <w:pPr>
        <w:pStyle w:val="45"/>
        <w:autoSpaceDE w:val="0"/>
        <w:spacing w:before="0" w:beforeAutospacing="0" w:after="0" w:afterAutospacing="0"/>
        <w:rPr>
          <w:rFonts w:hint="eastAsia"/>
          <w:strike w:val="0"/>
          <w:dstrike w:val="0"/>
          <w:color w:val="auto"/>
          <w:lang w:val="en"/>
        </w:rPr>
      </w:pPr>
      <w:r>
        <w:rPr>
          <w:rFonts w:hint="eastAsia"/>
          <w:strike w:val="0"/>
          <w:dstrike w:val="0"/>
          <w:color w:val="auto"/>
          <w:lang w:val="en"/>
        </w:rPr>
        <w:t>支持与临床患者信息互通，方便处理人员对患者详细信息调阅。</w:t>
      </w:r>
    </w:p>
    <w:p w14:paraId="7917E9B6">
      <w:pPr>
        <w:pStyle w:val="3"/>
        <w:rPr>
          <w:rFonts w:hint="eastAsia"/>
          <w:color w:val="auto"/>
        </w:rPr>
      </w:pPr>
      <w:r>
        <w:rPr>
          <w:rFonts w:hint="eastAsia"/>
          <w:color w:val="auto"/>
        </w:rPr>
        <w:t xml:space="preserve">台账本管理 </w:t>
      </w:r>
    </w:p>
    <w:p w14:paraId="256DD5AB">
      <w:pPr>
        <w:pStyle w:val="4"/>
        <w:rPr>
          <w:rFonts w:hint="eastAsia"/>
          <w:color w:val="auto"/>
          <w:lang w:val="en"/>
        </w:rPr>
      </w:pPr>
      <w:r>
        <w:rPr>
          <w:rFonts w:hint="eastAsia"/>
          <w:color w:val="auto"/>
          <w:lang w:val="en"/>
        </w:rPr>
        <w:t xml:space="preserve">临床台账8大本 </w:t>
      </w:r>
    </w:p>
    <w:p w14:paraId="01AABFFD">
      <w:pPr>
        <w:pStyle w:val="45"/>
        <w:spacing w:before="0" w:beforeAutospacing="0" w:after="0" w:afterAutospacing="0"/>
        <w:rPr>
          <w:rFonts w:hint="eastAsia" w:eastAsia="宋体"/>
          <w:color w:val="auto"/>
          <w:lang w:val="en" w:eastAsia="zh-CN"/>
        </w:rPr>
      </w:pPr>
      <w:r>
        <w:rPr>
          <w:rFonts w:hint="eastAsia"/>
          <w:color w:val="auto"/>
          <w:lang w:val="en"/>
        </w:rPr>
        <w:t>提供临床八大台账本、科务会</w:t>
      </w:r>
      <w:r>
        <w:rPr>
          <w:rFonts w:hint="eastAsia"/>
          <w:color w:val="auto"/>
          <w:lang w:val="en" w:eastAsia="zh-CN"/>
        </w:rPr>
        <w:t>（</w:t>
      </w:r>
      <w:r>
        <w:rPr>
          <w:rFonts w:hint="eastAsia"/>
          <w:color w:val="auto"/>
          <w:lang w:val="en-US" w:eastAsia="zh-CN"/>
        </w:rPr>
        <w:t>质控会议</w:t>
      </w:r>
      <w:r>
        <w:rPr>
          <w:rFonts w:hint="eastAsia"/>
          <w:color w:val="auto"/>
          <w:lang w:val="en" w:eastAsia="zh-CN"/>
        </w:rPr>
        <w:t>）</w:t>
      </w:r>
      <w:r>
        <w:rPr>
          <w:rFonts w:hint="eastAsia"/>
          <w:color w:val="auto"/>
          <w:lang w:val="en"/>
        </w:rPr>
        <w:t>台账本、临床科室质量自查登记本，其中临床八大台账本包括：术前讨论记录台账本、危重病人抢救台账本、疑难病例讨论台账本、非计划再次手术台账本、住院超30天患者台账本、死亡病例讨论台账本、</w:t>
      </w:r>
      <w:r>
        <w:rPr>
          <w:rFonts w:hint="eastAsia"/>
          <w:strike/>
          <w:dstrike w:val="0"/>
          <w:color w:val="auto"/>
          <w:lang w:val="en"/>
        </w:rPr>
        <w:t>差错事故台账本、</w:t>
      </w:r>
      <w:r>
        <w:rPr>
          <w:rFonts w:hint="eastAsia"/>
          <w:color w:val="auto"/>
          <w:lang w:val="en"/>
        </w:rPr>
        <w:t>出院病人</w:t>
      </w:r>
      <w:r>
        <w:rPr>
          <w:rFonts w:hint="eastAsia"/>
          <w:color w:val="auto"/>
          <w:lang w:val="en-US" w:eastAsia="zh-CN"/>
        </w:rPr>
        <w:t>登记随访</w:t>
      </w:r>
      <w:r>
        <w:rPr>
          <w:rFonts w:hint="eastAsia"/>
          <w:color w:val="auto"/>
          <w:lang w:val="en"/>
        </w:rPr>
        <w:t>台账本</w:t>
      </w:r>
      <w:r>
        <w:rPr>
          <w:rFonts w:hint="eastAsia"/>
          <w:color w:val="auto"/>
          <w:lang w:val="en" w:eastAsia="zh-CN"/>
        </w:rPr>
        <w:t>，</w:t>
      </w:r>
      <w:r>
        <w:rPr>
          <w:rFonts w:hint="eastAsia"/>
          <w:color w:val="auto"/>
          <w:lang w:val="en-US" w:eastAsia="zh-CN"/>
        </w:rPr>
        <w:t>可根据实际情况定制台账本。</w:t>
      </w:r>
    </w:p>
    <w:p w14:paraId="0E940F9A">
      <w:pPr>
        <w:pStyle w:val="45"/>
        <w:spacing w:before="0" w:beforeAutospacing="0" w:after="0" w:afterAutospacing="0"/>
        <w:rPr>
          <w:rFonts w:hint="eastAsia"/>
          <w:color w:val="auto"/>
          <w:lang w:val="en"/>
        </w:rPr>
      </w:pPr>
      <w:r>
        <w:rPr>
          <w:rFonts w:hint="eastAsia"/>
          <w:color w:val="auto"/>
          <w:lang w:val="en"/>
        </w:rPr>
        <w:t>具备台账本信息修改和打印功能。</w:t>
      </w:r>
    </w:p>
    <w:p w14:paraId="61272D62">
      <w:pPr>
        <w:pStyle w:val="45"/>
        <w:spacing w:before="0" w:beforeAutospacing="0" w:after="0" w:afterAutospacing="0"/>
        <w:rPr>
          <w:rFonts w:hint="default" w:eastAsia="宋体"/>
          <w:color w:val="auto"/>
          <w:lang w:val="en-US" w:eastAsia="zh-CN"/>
        </w:rPr>
      </w:pPr>
      <w:r>
        <w:rPr>
          <w:rFonts w:hint="eastAsia"/>
          <w:color w:val="auto"/>
          <w:lang w:val="en-US" w:eastAsia="zh-CN"/>
        </w:rPr>
        <w:t>▲</w:t>
      </w:r>
      <w:r>
        <w:rPr>
          <w:rFonts w:hint="eastAsia"/>
          <w:color w:val="auto"/>
          <w:lang w:val="en"/>
        </w:rPr>
        <w:t>支持与临床业务系统对接，自动提取病历文书内容填充台账内容，也可直接引用住院病历文书信息插入台账内容。</w:t>
      </w:r>
      <w:r>
        <w:rPr>
          <w:rFonts w:hint="eastAsia"/>
          <w:color w:val="auto"/>
          <w:lang w:val="en" w:eastAsia="zh-CN"/>
        </w:rPr>
        <w:t>（投标人需提供与病历文书相关联的待报台账判断规则设置、生成模式设置功能截图，提供台帐本书写时可插入患者病历内容的功能截图）</w:t>
      </w:r>
    </w:p>
    <w:p w14:paraId="3705006A">
      <w:pPr>
        <w:pStyle w:val="4"/>
        <w:rPr>
          <w:rFonts w:hint="eastAsia"/>
          <w:color w:val="auto"/>
          <w:lang w:val="en"/>
        </w:rPr>
      </w:pPr>
      <w:r>
        <w:rPr>
          <w:rFonts w:hint="eastAsia"/>
          <w:color w:val="auto"/>
          <w:lang w:val="en"/>
        </w:rPr>
        <w:t xml:space="preserve">台账本质控管理 </w:t>
      </w:r>
    </w:p>
    <w:p w14:paraId="55EDA6FE">
      <w:pPr>
        <w:pStyle w:val="45"/>
        <w:autoSpaceDE w:val="0"/>
        <w:spacing w:before="0" w:beforeAutospacing="0" w:after="0" w:afterAutospacing="0"/>
        <w:rPr>
          <w:rFonts w:hint="eastAsia"/>
          <w:color w:val="auto"/>
          <w:lang w:val="en"/>
        </w:rPr>
      </w:pPr>
      <w:r>
        <w:rPr>
          <w:rFonts w:hint="eastAsia"/>
          <w:color w:val="auto"/>
          <w:lang w:val="en"/>
        </w:rPr>
        <w:t>需提供台账本质控功能，针对缺漏台账、不合格台账下达整改并进行跟踪管理，提升台账上报效率和质量。</w:t>
      </w:r>
    </w:p>
    <w:p w14:paraId="192C38DD">
      <w:pPr>
        <w:pStyle w:val="45"/>
        <w:autoSpaceDE w:val="0"/>
        <w:spacing w:before="0" w:beforeAutospacing="0" w:after="0" w:afterAutospacing="0"/>
        <w:rPr>
          <w:rFonts w:hint="eastAsia"/>
          <w:color w:val="auto"/>
          <w:lang w:val="en"/>
        </w:rPr>
      </w:pPr>
      <w:r>
        <w:rPr>
          <w:rFonts w:hint="eastAsia"/>
          <w:color w:val="auto"/>
          <w:lang w:val="en"/>
        </w:rPr>
        <w:t>具备台账本待上报提醒功能。</w:t>
      </w:r>
    </w:p>
    <w:p w14:paraId="508E40EA">
      <w:pPr>
        <w:pStyle w:val="45"/>
        <w:autoSpaceDE w:val="0"/>
        <w:spacing w:before="0" w:beforeAutospacing="0" w:after="0" w:afterAutospacing="0"/>
        <w:rPr>
          <w:rFonts w:hint="eastAsia"/>
          <w:color w:val="auto"/>
          <w:lang w:val="en"/>
        </w:rPr>
      </w:pPr>
      <w:r>
        <w:rPr>
          <w:rFonts w:hint="eastAsia"/>
          <w:color w:val="auto"/>
          <w:lang w:val="en"/>
        </w:rPr>
        <w:t>具备医务管理人员下达台账问题整改单、整改单反馈和跟踪功能。</w:t>
      </w:r>
    </w:p>
    <w:p w14:paraId="6CE9BA10">
      <w:pPr>
        <w:pStyle w:val="3"/>
        <w:adjustRightInd w:val="0"/>
        <w:jc w:val="both"/>
        <w:rPr>
          <w:rFonts w:ascii="宋体" w:hAnsi="宋体"/>
          <w:color w:val="auto"/>
          <w:szCs w:val="30"/>
        </w:rPr>
      </w:pPr>
      <w:r>
        <w:rPr>
          <w:rFonts w:hint="eastAsia" w:ascii="宋体" w:hAnsi="宋体"/>
          <w:color w:val="auto"/>
          <w:szCs w:val="30"/>
        </w:rPr>
        <w:t>其他基础需求</w:t>
      </w:r>
    </w:p>
    <w:p w14:paraId="7953341A">
      <w:pPr>
        <w:pStyle w:val="4"/>
        <w:rPr>
          <w:color w:val="auto"/>
        </w:rPr>
      </w:pPr>
      <w:r>
        <w:rPr>
          <w:rFonts w:hint="eastAsia"/>
          <w:color w:val="auto"/>
        </w:rPr>
        <w:t>信创适配能力</w:t>
      </w:r>
    </w:p>
    <w:p w14:paraId="53DE4DC5">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本项目建设需响应国家信息技术应用创新的相关要求，为尽快解决“卡脖子”难题做好准备，强化科技创新和国有自主知识产权，实现信息核心技术自主可控，投标人应具备一定的国产化解决方案能力。</w:t>
      </w:r>
    </w:p>
    <w:p w14:paraId="36FD0298">
      <w:pPr>
        <w:pStyle w:val="27"/>
        <w:snapToGrid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所投医务管理软件需符合《信息技术应用创新产品评估规范》，并通过专业机构信创产品评估，所投产品应适配信创操作系统、数据库、中间件和服务器并提供产品适配测试报告，测试功能需包含医务首页、手术质量分析、会诊质量分析、医师权限准入管理、手术分级目录管理。</w:t>
      </w:r>
    </w:p>
    <w:p w14:paraId="74E792E3">
      <w:pPr>
        <w:pStyle w:val="4"/>
        <w:rPr>
          <w:color w:val="auto"/>
        </w:rPr>
      </w:pPr>
      <w:r>
        <w:rPr>
          <w:rFonts w:hint="eastAsia"/>
          <w:color w:val="auto"/>
        </w:rPr>
        <w:t>知识产权证明</w:t>
      </w:r>
    </w:p>
    <w:p w14:paraId="5DE784C2">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为保证所投产品的合法性，投标人应具备自主知识产权。</w:t>
      </w:r>
    </w:p>
    <w:p w14:paraId="770B51BA">
      <w:pPr>
        <w:pStyle w:val="27"/>
        <w:snapToGrid w:val="0"/>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投标人需提供具有自主知识产权的类似</w:t>
      </w:r>
      <w:r>
        <w:rPr>
          <w:rFonts w:hint="eastAsia" w:ascii="宋体" w:hAnsi="宋体" w:eastAsia="宋体" w:cs="宋体"/>
          <w:color w:val="auto"/>
          <w:sz w:val="24"/>
          <w:szCs w:val="24"/>
          <w:lang w:val="en-US" w:eastAsia="zh-CN"/>
        </w:rPr>
        <w:t>医务管理软件</w:t>
      </w:r>
      <w:r>
        <w:rPr>
          <w:rFonts w:hint="eastAsia" w:ascii="宋体" w:hAnsi="宋体" w:eastAsia="宋体" w:cs="宋体"/>
          <w:color w:val="auto"/>
          <w:sz w:val="24"/>
          <w:szCs w:val="24"/>
        </w:rPr>
        <w:t>的计算机软件著作权登记证书（复印件加盖投标人公章）</w:t>
      </w:r>
      <w:r>
        <w:rPr>
          <w:rFonts w:hint="eastAsia" w:ascii="宋体" w:hAnsi="宋体" w:eastAsia="宋体" w:cs="宋体"/>
          <w:color w:val="auto"/>
          <w:sz w:val="24"/>
          <w:szCs w:val="24"/>
          <w:lang w:eastAsia="zh-CN"/>
        </w:rPr>
        <w:t>。</w:t>
      </w:r>
    </w:p>
    <w:p w14:paraId="62BFD35B">
      <w:pPr>
        <w:pStyle w:val="4"/>
        <w:rPr>
          <w:color w:val="auto"/>
        </w:rPr>
      </w:pPr>
      <w:r>
        <w:rPr>
          <w:rFonts w:hint="eastAsia"/>
          <w:color w:val="auto"/>
        </w:rPr>
        <w:t>安全服务要求</w:t>
      </w:r>
    </w:p>
    <w:p w14:paraId="6CA5B403">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因医疗保障的特殊性，项目建设需充分考虑医院信息和数据安全，投标人应具备一定的安全管理能力。</w:t>
      </w:r>
    </w:p>
    <w:p w14:paraId="75644060">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投标人应具有信息安全服务资质认证证书（信息系统安全集成服务资质）二级及以上资质。</w:t>
      </w:r>
      <w:r>
        <w:rPr>
          <w:rFonts w:ascii="宋体" w:hAnsi="宋体" w:eastAsia="宋体" w:cs="宋体"/>
          <w:color w:val="auto"/>
          <w:sz w:val="24"/>
          <w:szCs w:val="24"/>
        </w:rPr>
        <w:t>（提供证明材料复印件或扫描件，并加盖投标人公章）</w:t>
      </w:r>
    </w:p>
    <w:p w14:paraId="0A9D5DF5">
      <w:pPr>
        <w:pStyle w:val="4"/>
        <w:rPr>
          <w:color w:val="auto"/>
        </w:rPr>
      </w:pPr>
      <w:r>
        <w:rPr>
          <w:rFonts w:hint="eastAsia"/>
          <w:color w:val="auto"/>
        </w:rPr>
        <w:t>技术服务能力</w:t>
      </w:r>
    </w:p>
    <w:p w14:paraId="1F6839E0">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本项目为软件服务类项目采购，且医务管理系统是医院管理的核心系统，集医疗质量管理、医师人力资源管理、医疗日常事务管理业务于一体，关系到医院整个管理流程，具有较高的业务复杂性和实施难度，为保证项目的顺利进行、建设效果及售后质量，需要投标人有较高的技术服务能力。</w:t>
      </w:r>
    </w:p>
    <w:p w14:paraId="5D8D87E7">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投标人应具有信息系统服务交付能力等级一级五星等级证书</w:t>
      </w:r>
      <w:r>
        <w:rPr>
          <w:rFonts w:ascii="宋体" w:hAnsi="宋体" w:eastAsia="宋体" w:cs="宋体"/>
          <w:color w:val="auto"/>
          <w:sz w:val="24"/>
          <w:szCs w:val="24"/>
        </w:rPr>
        <w:t>。（提供证明材料复印件或扫描件。）</w:t>
      </w:r>
    </w:p>
    <w:p w14:paraId="08D74143">
      <w:pPr>
        <w:pStyle w:val="27"/>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投标人应具有信息技术服务运行维护标准</w:t>
      </w:r>
      <w:r>
        <w:rPr>
          <w:rFonts w:ascii="宋体" w:hAnsi="宋体" w:eastAsia="宋体" w:cs="宋体"/>
          <w:color w:val="auto"/>
          <w:sz w:val="24"/>
          <w:szCs w:val="24"/>
        </w:rPr>
        <w:t>ITSS符合性一级资质证书。（提供证明材料复印件或扫描件，并加盖投标人公章）</w:t>
      </w:r>
    </w:p>
    <w:p w14:paraId="6FB7AB73">
      <w:pPr>
        <w:pStyle w:val="27"/>
        <w:snapToGrid w:val="0"/>
        <w:spacing w:line="360" w:lineRule="auto"/>
        <w:ind w:firstLine="480"/>
        <w:rPr>
          <w:rFonts w:ascii="宋体" w:hAnsi="宋体" w:eastAsia="宋体" w:cs="宋体"/>
          <w:color w:val="auto"/>
          <w:sz w:val="24"/>
          <w:szCs w:val="24"/>
        </w:rPr>
      </w:pPr>
    </w:p>
    <w:p w14:paraId="725D702B">
      <w:pPr>
        <w:pStyle w:val="27"/>
        <w:snapToGrid w:val="0"/>
        <w:spacing w:line="360" w:lineRule="auto"/>
        <w:ind w:firstLine="480"/>
        <w:rPr>
          <w:rFonts w:ascii="宋体" w:hAnsi="宋体" w:eastAsia="宋体" w:cs="宋体"/>
          <w:color w:val="auto"/>
          <w:sz w:val="24"/>
          <w:szCs w:val="24"/>
        </w:rPr>
      </w:pPr>
    </w:p>
    <w:p w14:paraId="40654F52">
      <w:pPr>
        <w:pStyle w:val="27"/>
        <w:snapToGrid w:val="0"/>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工期1年。</w:t>
      </w:r>
    </w:p>
    <w:p w14:paraId="01D181BD">
      <w:pPr>
        <w:pStyle w:val="27"/>
        <w:snapToGrid w:val="0"/>
        <w:spacing w:line="360" w:lineRule="auto"/>
        <w:ind w:firstLine="480"/>
        <w:rPr>
          <w:rFonts w:ascii="宋体" w:hAnsi="宋体" w:eastAsia="宋体" w:cs="宋体"/>
          <w:color w:val="auto"/>
          <w:sz w:val="24"/>
          <w:szCs w:val="24"/>
        </w:rPr>
      </w:pPr>
    </w:p>
    <w:p w14:paraId="1E77E1E1">
      <w:pPr>
        <w:pStyle w:val="27"/>
        <w:snapToGrid w:val="0"/>
        <w:spacing w:line="360" w:lineRule="auto"/>
        <w:ind w:firstLine="480"/>
        <w:rPr>
          <w:rFonts w:ascii="宋体" w:hAnsi="宋体" w:eastAsia="宋体" w:cs="宋体"/>
          <w:b/>
          <w:bCs/>
          <w:color w:val="auto"/>
          <w:sz w:val="30"/>
          <w:szCs w:val="30"/>
        </w:rPr>
      </w:pPr>
    </w:p>
    <w:p w14:paraId="78D9BB26">
      <w:pPr>
        <w:pStyle w:val="27"/>
        <w:snapToGrid w:val="0"/>
        <w:spacing w:line="360" w:lineRule="auto"/>
        <w:ind w:firstLine="480"/>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评分标准：</w:t>
      </w:r>
    </w:p>
    <w:p w14:paraId="4E5F93AE">
      <w:pPr>
        <w:pStyle w:val="27"/>
        <w:snapToGrid w:val="0"/>
        <w:spacing w:line="360" w:lineRule="auto"/>
        <w:ind w:firstLine="480"/>
        <w:rPr>
          <w:rFonts w:ascii="宋体" w:hAnsi="宋体" w:eastAsia="宋体" w:cs="宋体"/>
          <w:color w:val="auto"/>
          <w:sz w:val="24"/>
          <w:szCs w:val="24"/>
        </w:rPr>
      </w:pPr>
    </w:p>
    <w:tbl>
      <w:tblPr>
        <w:tblStyle w:val="19"/>
        <w:tblW w:w="92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1674"/>
        <w:gridCol w:w="1577"/>
        <w:gridCol w:w="911"/>
        <w:gridCol w:w="4808"/>
      </w:tblGrid>
      <w:tr w14:paraId="5D3E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5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1EF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011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评分项目</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172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评分细项</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DC3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分值</w:t>
            </w:r>
          </w:p>
        </w:tc>
        <w:tc>
          <w:tcPr>
            <w:tcW w:w="4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6AB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评分标准</w:t>
            </w:r>
          </w:p>
        </w:tc>
      </w:tr>
      <w:tr w14:paraId="2B94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B4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4B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价格部分（10%）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3F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投标报价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AC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C7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满足招标文件要求且投标价格最低的投标报价为评标基准价，投标人的价格分统一按下列公式计算：投标报价得分=（评标基准价/投标报价）×10%×100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按无效投标处理。</w:t>
            </w:r>
          </w:p>
        </w:tc>
      </w:tr>
      <w:tr w14:paraId="4AF7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4C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62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技术部分(68%)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1CE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C3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D5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6"/>
                <w:color w:val="auto"/>
                <w:lang w:val="en-US" w:eastAsia="zh-CN" w:bidi="ar"/>
              </w:rPr>
              <w:t>1.起评分：60分</w:t>
            </w:r>
            <w:r>
              <w:rPr>
                <w:rStyle w:val="46"/>
                <w:color w:val="auto"/>
                <w:lang w:val="en-US" w:eastAsia="zh-CN" w:bidi="ar"/>
              </w:rPr>
              <w:br w:type="textWrapping"/>
            </w:r>
            <w:r>
              <w:rPr>
                <w:rStyle w:val="46"/>
                <w:color w:val="auto"/>
                <w:lang w:val="en-US" w:eastAsia="zh-CN" w:bidi="ar"/>
              </w:rPr>
              <w:t>有效投标人的起评分为60分。</w:t>
            </w:r>
            <w:r>
              <w:rPr>
                <w:rStyle w:val="46"/>
                <w:color w:val="auto"/>
                <w:lang w:val="en-US" w:eastAsia="zh-CN" w:bidi="ar"/>
              </w:rPr>
              <w:br w:type="textWrapping"/>
            </w:r>
            <w:r>
              <w:rPr>
                <w:rStyle w:val="46"/>
                <w:color w:val="auto"/>
                <w:lang w:val="en-US" w:eastAsia="zh-CN" w:bidi="ar"/>
              </w:rPr>
              <w:t>2.扣分条款：</w:t>
            </w:r>
            <w:r>
              <w:rPr>
                <w:rStyle w:val="46"/>
                <w:color w:val="auto"/>
                <w:lang w:val="en-US" w:eastAsia="zh-CN" w:bidi="ar"/>
              </w:rPr>
              <w:br w:type="textWrapping"/>
            </w:r>
            <w:r>
              <w:rPr>
                <w:rStyle w:val="46"/>
                <w:color w:val="auto"/>
                <w:lang w:val="en-US" w:eastAsia="zh-CN" w:bidi="ar"/>
              </w:rPr>
              <w:t>2.1投标文件投标应答有一条不满足招标文件重要服务参数（本招标文件技术参数中带“▲”号标注的部分），从起评分中扣除3分，</w:t>
            </w:r>
            <w:r>
              <w:rPr>
                <w:rStyle w:val="47"/>
                <w:color w:val="auto"/>
                <w:lang w:val="en-US" w:eastAsia="zh-CN" w:bidi="ar"/>
              </w:rPr>
              <w:t>扣完为止</w:t>
            </w:r>
            <w:r>
              <w:rPr>
                <w:rStyle w:val="46"/>
                <w:color w:val="auto"/>
                <w:lang w:val="en-US" w:eastAsia="zh-CN" w:bidi="ar"/>
              </w:rPr>
              <w:t>。</w:t>
            </w:r>
            <w:r>
              <w:rPr>
                <w:rStyle w:val="46"/>
                <w:color w:val="auto"/>
                <w:lang w:val="en-US" w:eastAsia="zh-CN" w:bidi="ar"/>
              </w:rPr>
              <w:br w:type="textWrapping"/>
            </w:r>
            <w:r>
              <w:rPr>
                <w:rStyle w:val="46"/>
                <w:color w:val="auto"/>
                <w:lang w:val="en-US" w:eastAsia="zh-CN" w:bidi="ar"/>
              </w:rPr>
              <w:t>2.2投标文件投标应答有一条不满足招标文件一般性服务参数（本招标文件技术参数中“▲”号标注的部分除外），从起评分中扣除1分，扣完为止。</w:t>
            </w:r>
          </w:p>
        </w:tc>
      </w:tr>
      <w:tr w14:paraId="3CBC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04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AF2C">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2F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27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0A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实施方案需包含且不限于实施流程、实施计划、项目管理、风险控制等内容。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1.实施方案阐述详尽、内容完整、措施完善、条理清晰、覆盖全面的为优：6-8分；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2.实施方案阐述完整，措施不完善，条理不够清晰为良：3-5分；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3.实施方案阐述严重缺乏条理性，措施极不完善为一般：1-2分；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4.实施方案不具备可操作性，不得分。</w:t>
            </w:r>
          </w:p>
        </w:tc>
      </w:tr>
      <w:tr w14:paraId="2579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58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8E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商务部分(22%)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8F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售后服务方案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B3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8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售后服务方案包括但不限于售后服务方案、培训方案、维修响应时间等。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1.售后服务方案清晰完整、售后服务措施全面、充分结合医院实际情况为优：6-8；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2.售后服务方案较完整、售后服务措施较全面、充分结合医院实际情况为良：3-5；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3.方案编制简略、没有突出重点为一般：1-2分；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4.没有提供售后服务方案的，不得分。</w:t>
            </w:r>
          </w:p>
        </w:tc>
      </w:tr>
      <w:tr w14:paraId="36D8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F7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695A">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26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管理体系认证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B7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3C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投标人具有以下管理体系认证证书：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（1）质量管理体系认证证书ISO9001；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（2）信息安全管理体系证书ISO27001；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（3）知识产权管理体系认证GB_T29490；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（4）业务连续性管理体系认证证书ISO22301；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（5）隐私信息管理体系认证证书ISO27701；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（6）数据治理管理体系认证证书ISO38505；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全部提供得6分，每少一项扣1分，扣完为止。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评审标准：投标人提供证明文件扫描件并加盖投标人公章，不满足或未提供不得分,证书的获取时间应在招标文件挂网前。</w:t>
            </w:r>
          </w:p>
        </w:tc>
      </w:tr>
      <w:tr w14:paraId="78C2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0E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5E72">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DD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数据连续性要求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E4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4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4E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为保障院内系统建设数据的连续性，投标人需满足以下要求：投标人所投产品需与采购人现有HIS系统、门诊医生站系统、住院医生站系统进行对接，实现数据的互联互通，投标人及以上系统的建设厂商由于系统对接产生的系统改造、对接费用及实施服务费用包含在本项目成交价中，不得向采购人收取成交金额以外的费用，投标人提供承诺函并加盖投标人公章的得8分，否则不得分。</w:t>
            </w:r>
          </w:p>
        </w:tc>
      </w:tr>
    </w:tbl>
    <w:p w14:paraId="6FFD0AB2">
      <w:pPr>
        <w:pStyle w:val="27"/>
        <w:snapToGrid w:val="0"/>
        <w:spacing w:line="360" w:lineRule="auto"/>
        <w:ind w:firstLine="480"/>
        <w:rPr>
          <w:rFonts w:hint="eastAsia" w:ascii="宋体" w:hAnsi="宋体" w:eastAsia="宋体" w:cs="宋体"/>
          <w:color w:val="auto"/>
          <w:sz w:val="24"/>
          <w:szCs w:val="24"/>
          <w:lang w:val="en"/>
        </w:rPr>
      </w:pPr>
    </w:p>
    <w:p w14:paraId="230BC266">
      <w:pPr>
        <w:pStyle w:val="27"/>
        <w:snapToGrid w:val="0"/>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医务科、质控办人员确认签字：</w:t>
      </w:r>
    </w:p>
    <w:p w14:paraId="4C792C0F">
      <w:pPr>
        <w:pStyle w:val="27"/>
        <w:snapToGrid w:val="0"/>
        <w:spacing w:line="360" w:lineRule="auto"/>
        <w:ind w:left="0" w:leftChars="0" w:firstLine="0" w:firstLineChars="0"/>
        <w:rPr>
          <w:rFonts w:hint="eastAsia" w:ascii="宋体" w:hAnsi="宋体" w:eastAsia="宋体" w:cs="宋体"/>
          <w:color w:val="auto"/>
          <w:sz w:val="24"/>
          <w:szCs w:val="24"/>
          <w:lang w:val="en-US" w:eastAsia="zh-CN"/>
        </w:rPr>
      </w:pPr>
    </w:p>
    <w:p w14:paraId="291A53CC">
      <w:pPr>
        <w:pStyle w:val="27"/>
        <w:snapToGrid w:val="0"/>
        <w:spacing w:line="360" w:lineRule="auto"/>
        <w:ind w:left="0" w:leftChars="0" w:firstLine="0" w:firstLineChars="0"/>
        <w:rPr>
          <w:rFonts w:hint="eastAsia" w:ascii="宋体" w:hAnsi="宋体" w:eastAsia="宋体" w:cs="宋体"/>
          <w:color w:val="auto"/>
          <w:sz w:val="24"/>
          <w:szCs w:val="24"/>
          <w:lang w:val="en-US" w:eastAsia="zh-CN"/>
        </w:rPr>
      </w:pPr>
    </w:p>
    <w:p w14:paraId="577C3ECC">
      <w:pPr>
        <w:pStyle w:val="27"/>
        <w:snapToGrid w:val="0"/>
        <w:spacing w:line="360" w:lineRule="auto"/>
        <w:ind w:left="0" w:leftChars="0" w:firstLine="0" w:firstLineChars="0"/>
        <w:rPr>
          <w:rFonts w:hint="eastAsia" w:ascii="宋体" w:hAnsi="宋体" w:eastAsia="宋体" w:cs="宋体"/>
          <w:color w:val="auto"/>
          <w:sz w:val="24"/>
          <w:szCs w:val="24"/>
          <w:lang w:val="en-US" w:eastAsia="zh-CN"/>
        </w:rPr>
      </w:pPr>
    </w:p>
    <w:p w14:paraId="03A79E44">
      <w:pPr>
        <w:pStyle w:val="27"/>
        <w:snapToGrid w:val="0"/>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医务科支部书记签字：</w:t>
      </w:r>
      <w:bookmarkStart w:id="0" w:name="_GoBack"/>
      <w:bookmarkEnd w:id="0"/>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E397F"/>
    <w:multiLevelType w:val="multilevel"/>
    <w:tmpl w:val="55AE397F"/>
    <w:lvl w:ilvl="0" w:tentative="0">
      <w:start w:val="1"/>
      <w:numFmt w:val="chineseCountingThousand"/>
      <w:pStyle w:val="2"/>
      <w:suff w:val="nothing"/>
      <w:lvlText w:val="%1、"/>
      <w:lvlJc w:val="left"/>
      <w:pPr>
        <w:ind w:left="0" w:firstLine="0"/>
      </w:pPr>
      <w:rPr>
        <w:rFonts w:hint="eastAsia" w:ascii="宋体" w:hAnsi="宋体" w:eastAsia="宋体"/>
        <w:sz w:val="28"/>
        <w:szCs w:val="28"/>
      </w:rPr>
    </w:lvl>
    <w:lvl w:ilvl="1" w:tentative="0">
      <w:start w:val="1"/>
      <w:numFmt w:val="decimal"/>
      <w:pStyle w:val="3"/>
      <w:isLgl/>
      <w:suff w:val="space"/>
      <w:lvlText w:val="%1.%2"/>
      <w:lvlJc w:val="left"/>
      <w:pPr>
        <w:ind w:left="0" w:firstLine="0"/>
      </w:pPr>
      <w:rPr>
        <w:rFonts w:hint="eastAsia" w:ascii="宋体" w:hAnsi="宋体" w:eastAsia="宋体"/>
      </w:rPr>
    </w:lvl>
    <w:lvl w:ilvl="2" w:tentative="0">
      <w:start w:val="1"/>
      <w:numFmt w:val="decimal"/>
      <w:pStyle w:val="4"/>
      <w:isLgl/>
      <w:suff w:val="space"/>
      <w:lvlText w:val="%1.%2.%3"/>
      <w:lvlJc w:val="left"/>
      <w:pPr>
        <w:ind w:left="0" w:firstLine="0"/>
      </w:pPr>
      <w:rPr>
        <w:rFonts w:hint="eastAsia" w:ascii="宋体" w:hAnsi="宋体" w:eastAsia="宋体"/>
      </w:rPr>
    </w:lvl>
    <w:lvl w:ilvl="3" w:tentative="0">
      <w:start w:val="1"/>
      <w:numFmt w:val="decimal"/>
      <w:pStyle w:val="5"/>
      <w:isLgl/>
      <w:suff w:val="space"/>
      <w:lvlText w:val="%1.%2.%3.%4"/>
      <w:lvlJc w:val="left"/>
      <w:pPr>
        <w:ind w:left="0" w:firstLine="0"/>
      </w:pPr>
      <w:rPr>
        <w:rFonts w:hint="eastAsia" w:ascii="宋体" w:hAnsi="宋体" w:eastAsia="宋体"/>
      </w:rPr>
    </w:lvl>
    <w:lvl w:ilvl="4" w:tentative="0">
      <w:start w:val="1"/>
      <w:numFmt w:val="decimal"/>
      <w:isLgl/>
      <w:suff w:val="space"/>
      <w:lvlText w:val="%1.%2.%3.%4.%5"/>
      <w:lvlJc w:val="left"/>
      <w:pPr>
        <w:ind w:left="2693" w:firstLine="0"/>
      </w:pPr>
      <w:rPr>
        <w:rFonts w:hint="eastAsia" w:ascii="宋体" w:hAnsi="宋体" w:eastAsia="宋体"/>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1">
    <w:nsid w:val="688335D2"/>
    <w:multiLevelType w:val="multilevel"/>
    <w:tmpl w:val="688335D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B8"/>
    <w:rsid w:val="000241D4"/>
    <w:rsid w:val="00031032"/>
    <w:rsid w:val="00061D32"/>
    <w:rsid w:val="00084C48"/>
    <w:rsid w:val="00093533"/>
    <w:rsid w:val="000B1397"/>
    <w:rsid w:val="000B6F01"/>
    <w:rsid w:val="000E0B96"/>
    <w:rsid w:val="000F304B"/>
    <w:rsid w:val="00174BFB"/>
    <w:rsid w:val="0020061A"/>
    <w:rsid w:val="00206082"/>
    <w:rsid w:val="0020649F"/>
    <w:rsid w:val="002543BC"/>
    <w:rsid w:val="0029037A"/>
    <w:rsid w:val="002C0CDC"/>
    <w:rsid w:val="002F10CA"/>
    <w:rsid w:val="0031169F"/>
    <w:rsid w:val="003500AF"/>
    <w:rsid w:val="0036512A"/>
    <w:rsid w:val="00426C6B"/>
    <w:rsid w:val="00482A70"/>
    <w:rsid w:val="0049675D"/>
    <w:rsid w:val="004B240D"/>
    <w:rsid w:val="004D1BB6"/>
    <w:rsid w:val="005A5F4A"/>
    <w:rsid w:val="005F0913"/>
    <w:rsid w:val="00611B33"/>
    <w:rsid w:val="00640804"/>
    <w:rsid w:val="00656A5C"/>
    <w:rsid w:val="00693DB8"/>
    <w:rsid w:val="006B6AB1"/>
    <w:rsid w:val="00704DC1"/>
    <w:rsid w:val="00732C60"/>
    <w:rsid w:val="007C3DA9"/>
    <w:rsid w:val="00846A67"/>
    <w:rsid w:val="008505A3"/>
    <w:rsid w:val="0089356E"/>
    <w:rsid w:val="008B3298"/>
    <w:rsid w:val="009C421B"/>
    <w:rsid w:val="009C5E80"/>
    <w:rsid w:val="00A027DA"/>
    <w:rsid w:val="00A14B12"/>
    <w:rsid w:val="00AA26AD"/>
    <w:rsid w:val="00AC308D"/>
    <w:rsid w:val="00AD769E"/>
    <w:rsid w:val="00B04173"/>
    <w:rsid w:val="00B13754"/>
    <w:rsid w:val="00B35B18"/>
    <w:rsid w:val="00B62B4D"/>
    <w:rsid w:val="00B63864"/>
    <w:rsid w:val="00BE5B19"/>
    <w:rsid w:val="00C10D6B"/>
    <w:rsid w:val="00C83E56"/>
    <w:rsid w:val="00D07DDF"/>
    <w:rsid w:val="00D740FB"/>
    <w:rsid w:val="00DB3574"/>
    <w:rsid w:val="00DD2E16"/>
    <w:rsid w:val="00DD538C"/>
    <w:rsid w:val="00DE6344"/>
    <w:rsid w:val="00E71521"/>
    <w:rsid w:val="00E85A51"/>
    <w:rsid w:val="00E85EA9"/>
    <w:rsid w:val="00EB7BCA"/>
    <w:rsid w:val="00ED14B1"/>
    <w:rsid w:val="00ED5A4B"/>
    <w:rsid w:val="00F459A0"/>
    <w:rsid w:val="00F864CB"/>
    <w:rsid w:val="00FB6C85"/>
    <w:rsid w:val="00FE5898"/>
    <w:rsid w:val="00FE7FD1"/>
    <w:rsid w:val="00FF2E7A"/>
    <w:rsid w:val="070B5FE1"/>
    <w:rsid w:val="0BAD4690"/>
    <w:rsid w:val="12ED571D"/>
    <w:rsid w:val="18C538B6"/>
    <w:rsid w:val="24605F69"/>
    <w:rsid w:val="345E036E"/>
    <w:rsid w:val="41AD70B6"/>
    <w:rsid w:val="423C2BCD"/>
    <w:rsid w:val="42B56AAA"/>
    <w:rsid w:val="43FF1225"/>
    <w:rsid w:val="4918489E"/>
    <w:rsid w:val="58031754"/>
    <w:rsid w:val="61A42FB4"/>
    <w:rsid w:val="62210161"/>
    <w:rsid w:val="68433BFA"/>
    <w:rsid w:val="6ECD1832"/>
    <w:rsid w:val="70F010C3"/>
    <w:rsid w:val="75BE5F9B"/>
    <w:rsid w:val="7D2340F4"/>
    <w:rsid w:val="7D31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autoRedefine/>
    <w:qFormat/>
    <w:uiPriority w:val="9"/>
    <w:pPr>
      <w:widowControl/>
      <w:numPr>
        <w:ilvl w:val="0"/>
        <w:numId w:val="1"/>
      </w:numPr>
      <w:spacing w:line="360" w:lineRule="auto"/>
      <w:jc w:val="left"/>
      <w:outlineLvl w:val="0"/>
    </w:pPr>
    <w:rPr>
      <w:rFonts w:ascii="宋体" w:hAnsi="宋体" w:eastAsia="宋体" w:cs="宋体"/>
      <w:b/>
      <w:kern w:val="36"/>
      <w:sz w:val="32"/>
      <w:szCs w:val="48"/>
    </w:rPr>
  </w:style>
  <w:style w:type="paragraph" w:styleId="3">
    <w:name w:val="heading 2"/>
    <w:basedOn w:val="1"/>
    <w:next w:val="1"/>
    <w:link w:val="22"/>
    <w:autoRedefine/>
    <w:qFormat/>
    <w:uiPriority w:val="9"/>
    <w:pPr>
      <w:widowControl/>
      <w:numPr>
        <w:ilvl w:val="1"/>
        <w:numId w:val="1"/>
      </w:numPr>
      <w:spacing w:line="360" w:lineRule="auto"/>
      <w:jc w:val="left"/>
      <w:outlineLvl w:val="1"/>
    </w:pPr>
    <w:rPr>
      <w:rFonts w:ascii="宋体" w:hAnsi="宋体" w:eastAsia="宋体" w:cs="宋体"/>
      <w:b/>
      <w:kern w:val="0"/>
      <w:sz w:val="30"/>
      <w:szCs w:val="36"/>
    </w:rPr>
  </w:style>
  <w:style w:type="paragraph" w:styleId="4">
    <w:name w:val="heading 3"/>
    <w:basedOn w:val="1"/>
    <w:next w:val="1"/>
    <w:link w:val="23"/>
    <w:autoRedefine/>
    <w:unhideWhenUsed/>
    <w:qFormat/>
    <w:uiPriority w:val="9"/>
    <w:pPr>
      <w:numPr>
        <w:ilvl w:val="2"/>
        <w:numId w:val="1"/>
      </w:numPr>
      <w:spacing w:line="360" w:lineRule="auto"/>
      <w:outlineLvl w:val="2"/>
    </w:pPr>
    <w:rPr>
      <w:rFonts w:ascii="Times New Roman" w:hAnsi="Times New Roman" w:eastAsia="宋体" w:cs="Times New Roman"/>
      <w:b/>
      <w:bCs/>
      <w:sz w:val="28"/>
      <w:szCs w:val="32"/>
    </w:rPr>
  </w:style>
  <w:style w:type="paragraph" w:styleId="5">
    <w:name w:val="heading 4"/>
    <w:basedOn w:val="1"/>
    <w:next w:val="1"/>
    <w:link w:val="24"/>
    <w:autoRedefine/>
    <w:unhideWhenUsed/>
    <w:qFormat/>
    <w:uiPriority w:val="9"/>
    <w:pPr>
      <w:numPr>
        <w:ilvl w:val="3"/>
        <w:numId w:val="1"/>
      </w:numPr>
      <w:spacing w:line="360" w:lineRule="auto"/>
      <w:outlineLvl w:val="3"/>
    </w:pPr>
    <w:rPr>
      <w:rFonts w:eastAsia="宋体" w:asciiTheme="majorHAnsi" w:hAnsiTheme="majorHAnsi" w:cstheme="majorBidi"/>
      <w:b/>
      <w:bCs/>
      <w:sz w:val="28"/>
      <w:szCs w:val="28"/>
    </w:rPr>
  </w:style>
  <w:style w:type="paragraph" w:styleId="6">
    <w:name w:val="heading 5"/>
    <w:basedOn w:val="1"/>
    <w:next w:val="1"/>
    <w:link w:val="30"/>
    <w:autoRedefine/>
    <w:unhideWhenUsed/>
    <w:qFormat/>
    <w:uiPriority w:val="9"/>
    <w:pPr>
      <w:keepNext/>
      <w:keepLines/>
      <w:numPr>
        <w:ilvl w:val="4"/>
        <w:numId w:val="2"/>
      </w:numPr>
      <w:spacing w:line="360" w:lineRule="auto"/>
      <w:outlineLvl w:val="4"/>
    </w:pPr>
    <w:rPr>
      <w:rFonts w:eastAsia="宋体"/>
      <w:b/>
      <w:bCs/>
      <w:color w:val="000000"/>
      <w:sz w:val="28"/>
      <w:szCs w:val="28"/>
      <w:lang w:val="en"/>
    </w:rPr>
  </w:style>
  <w:style w:type="paragraph" w:styleId="7">
    <w:name w:val="heading 6"/>
    <w:basedOn w:val="1"/>
    <w:next w:val="1"/>
    <w:link w:val="33"/>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toc 3"/>
    <w:basedOn w:val="1"/>
    <w:next w:val="1"/>
    <w:autoRedefine/>
    <w:semiHidden/>
    <w:unhideWhenUsed/>
    <w:qFormat/>
    <w:uiPriority w:val="39"/>
    <w:pPr>
      <w:ind w:left="840" w:leftChars="400"/>
    </w:pPr>
    <w:rPr>
      <w:rFonts w:eastAsia="宋体"/>
      <w:sz w:val="2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rPr>
      <w:rFonts w:eastAsia="宋体"/>
      <w:sz w:val="28"/>
    </w:rPr>
  </w:style>
  <w:style w:type="paragraph" w:styleId="16">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autoRedefine/>
    <w:unhideWhenUsed/>
    <w:qFormat/>
    <w:uiPriority w:val="39"/>
    <w:pPr>
      <w:ind w:left="420" w:leftChars="200"/>
    </w:pPr>
    <w:rPr>
      <w:rFonts w:eastAsia="宋体"/>
      <w:sz w:val="28"/>
    </w:rPr>
  </w:style>
  <w:style w:type="paragraph" w:styleId="18">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1">
    <w:name w:val="标题 1 字符"/>
    <w:basedOn w:val="20"/>
    <w:link w:val="2"/>
    <w:qFormat/>
    <w:uiPriority w:val="9"/>
    <w:rPr>
      <w:rFonts w:ascii="宋体" w:hAnsi="宋体" w:eastAsia="宋体" w:cs="宋体"/>
      <w:b/>
      <w:kern w:val="36"/>
      <w:sz w:val="32"/>
      <w:szCs w:val="48"/>
    </w:rPr>
  </w:style>
  <w:style w:type="character" w:customStyle="1" w:styleId="22">
    <w:name w:val="标题 2 字符"/>
    <w:basedOn w:val="20"/>
    <w:link w:val="3"/>
    <w:qFormat/>
    <w:uiPriority w:val="9"/>
    <w:rPr>
      <w:rFonts w:ascii="宋体" w:hAnsi="宋体" w:eastAsia="宋体" w:cs="宋体"/>
      <w:b/>
      <w:kern w:val="0"/>
      <w:sz w:val="30"/>
      <w:szCs w:val="36"/>
    </w:rPr>
  </w:style>
  <w:style w:type="character" w:customStyle="1" w:styleId="23">
    <w:name w:val="标题 3 字符"/>
    <w:basedOn w:val="20"/>
    <w:link w:val="4"/>
    <w:qFormat/>
    <w:uiPriority w:val="9"/>
    <w:rPr>
      <w:rFonts w:ascii="Times New Roman" w:hAnsi="Times New Roman" w:eastAsia="宋体" w:cs="Times New Roman"/>
      <w:b/>
      <w:bCs/>
      <w:sz w:val="28"/>
      <w:szCs w:val="32"/>
    </w:rPr>
  </w:style>
  <w:style w:type="character" w:customStyle="1" w:styleId="24">
    <w:name w:val="标题 4 字符"/>
    <w:basedOn w:val="20"/>
    <w:link w:val="5"/>
    <w:qFormat/>
    <w:uiPriority w:val="9"/>
    <w:rPr>
      <w:rFonts w:eastAsia="宋体" w:asciiTheme="majorHAnsi" w:hAnsiTheme="majorHAnsi" w:cstheme="majorBidi"/>
      <w:b/>
      <w:bCs/>
      <w:sz w:val="28"/>
      <w:szCs w:val="28"/>
    </w:rPr>
  </w:style>
  <w:style w:type="paragraph" w:customStyle="1" w:styleId="25">
    <w:name w:val="方案正文"/>
    <w:basedOn w:val="1"/>
    <w:link w:val="26"/>
    <w:autoRedefine/>
    <w:qFormat/>
    <w:uiPriority w:val="0"/>
    <w:pPr>
      <w:widowControl/>
      <w:adjustRightInd w:val="0"/>
      <w:snapToGrid w:val="0"/>
      <w:spacing w:line="360" w:lineRule="auto"/>
      <w:ind w:firstLine="200" w:firstLineChars="200"/>
    </w:pPr>
    <w:rPr>
      <w:rFonts w:ascii="Times New Roman" w:hAnsi="Times New Roman" w:eastAsia="宋体" w:cs="Times New Roman"/>
      <w:sz w:val="24"/>
      <w:szCs w:val="32"/>
    </w:rPr>
  </w:style>
  <w:style w:type="character" w:customStyle="1" w:styleId="26">
    <w:name w:val="方案正文 字符"/>
    <w:basedOn w:val="20"/>
    <w:link w:val="25"/>
    <w:qFormat/>
    <w:uiPriority w:val="0"/>
    <w:rPr>
      <w:rFonts w:ascii="Times New Roman" w:hAnsi="Times New Roman" w:eastAsia="宋体" w:cs="Times New Roman"/>
      <w:sz w:val="24"/>
      <w:szCs w:val="32"/>
    </w:rPr>
  </w:style>
  <w:style w:type="paragraph" w:styleId="27">
    <w:name w:val="List Paragraph"/>
    <w:basedOn w:val="1"/>
    <w:qFormat/>
    <w:uiPriority w:val="34"/>
    <w:pPr>
      <w:ind w:firstLine="420" w:firstLineChars="200"/>
    </w:pPr>
  </w:style>
  <w:style w:type="paragraph" w:customStyle="1" w:styleId="28">
    <w:name w:val="正文加粗"/>
    <w:basedOn w:val="1"/>
    <w:link w:val="29"/>
    <w:autoRedefine/>
    <w:qFormat/>
    <w:uiPriority w:val="0"/>
    <w:pPr>
      <w:spacing w:line="360" w:lineRule="auto"/>
      <w:ind w:firstLine="480" w:firstLineChars="200"/>
    </w:pPr>
    <w:rPr>
      <w:rFonts w:ascii="宋体" w:hAnsi="宋体" w:eastAsia="宋体"/>
      <w:b/>
      <w:color w:val="000000"/>
      <w:sz w:val="24"/>
      <w:szCs w:val="28"/>
      <w:lang w:val="en"/>
    </w:rPr>
  </w:style>
  <w:style w:type="character" w:customStyle="1" w:styleId="29">
    <w:name w:val="正文加粗 字符"/>
    <w:basedOn w:val="20"/>
    <w:link w:val="28"/>
    <w:qFormat/>
    <w:uiPriority w:val="0"/>
    <w:rPr>
      <w:rFonts w:ascii="宋体" w:hAnsi="宋体" w:eastAsia="宋体"/>
      <w:b/>
      <w:color w:val="000000"/>
      <w:sz w:val="24"/>
      <w:szCs w:val="28"/>
      <w:lang w:val="en"/>
    </w:rPr>
  </w:style>
  <w:style w:type="character" w:customStyle="1" w:styleId="30">
    <w:name w:val="标题 5 字符"/>
    <w:basedOn w:val="20"/>
    <w:link w:val="6"/>
    <w:qFormat/>
    <w:uiPriority w:val="9"/>
    <w:rPr>
      <w:rFonts w:eastAsia="宋体"/>
      <w:b/>
      <w:bCs/>
      <w:color w:val="000000"/>
      <w:sz w:val="28"/>
      <w:szCs w:val="28"/>
      <w:lang w:val="en"/>
    </w:rPr>
  </w:style>
  <w:style w:type="paragraph" w:customStyle="1" w:styleId="31">
    <w:name w:val="图片居中"/>
    <w:basedOn w:val="1"/>
    <w:link w:val="32"/>
    <w:autoRedefine/>
    <w:qFormat/>
    <w:uiPriority w:val="0"/>
    <w:pPr>
      <w:jc w:val="center"/>
    </w:pPr>
    <w:rPr>
      <w:rFonts w:ascii="Times New Roman" w:hAnsi="Times New Roman" w:eastAsia="宋体" w:cs="Times New Roman"/>
      <w:sz w:val="24"/>
      <w:szCs w:val="24"/>
    </w:rPr>
  </w:style>
  <w:style w:type="character" w:customStyle="1" w:styleId="32">
    <w:name w:val="图片居中 字符"/>
    <w:basedOn w:val="20"/>
    <w:link w:val="31"/>
    <w:qFormat/>
    <w:uiPriority w:val="0"/>
    <w:rPr>
      <w:rFonts w:ascii="Times New Roman" w:hAnsi="Times New Roman" w:eastAsia="宋体" w:cs="Times New Roman"/>
      <w:sz w:val="24"/>
      <w:szCs w:val="24"/>
    </w:rPr>
  </w:style>
  <w:style w:type="character" w:customStyle="1" w:styleId="33">
    <w:name w:val="标题 6 字符"/>
    <w:basedOn w:val="20"/>
    <w:link w:val="7"/>
    <w:qFormat/>
    <w:uiPriority w:val="9"/>
    <w:rPr>
      <w:rFonts w:cstheme="majorBidi"/>
      <w:b/>
      <w:bCs/>
      <w:color w:val="2F5597" w:themeColor="accent1" w:themeShade="BF"/>
    </w:rPr>
  </w:style>
  <w:style w:type="character" w:customStyle="1" w:styleId="34">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0"/>
    <w:link w:val="39"/>
    <w:qFormat/>
    <w:uiPriority w:val="29"/>
    <w:rPr>
      <w:i/>
      <w:iCs/>
      <w:color w:val="404040" w:themeColor="text1" w:themeTint="BF"/>
      <w14:textFill>
        <w14:solidFill>
          <w14:schemeClr w14:val="tx1">
            <w14:lumMod w14:val="75000"/>
            <w14:lumOff w14:val="25000"/>
          </w14:schemeClr>
        </w14:solidFill>
      </w14:textFill>
    </w:rPr>
  </w:style>
  <w:style w:type="character" w:customStyle="1" w:styleId="41">
    <w:name w:val="Intense Emphasis"/>
    <w:basedOn w:val="20"/>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0"/>
    <w:link w:val="42"/>
    <w:qFormat/>
    <w:uiPriority w:val="30"/>
    <w:rPr>
      <w:i/>
      <w:iCs/>
      <w:color w:val="2F5597" w:themeColor="accent1" w:themeShade="BF"/>
    </w:rPr>
  </w:style>
  <w:style w:type="character" w:customStyle="1" w:styleId="44">
    <w:name w:val="Intense Reference"/>
    <w:basedOn w:val="20"/>
    <w:qFormat/>
    <w:uiPriority w:val="32"/>
    <w:rPr>
      <w:b/>
      <w:bCs/>
      <w:smallCaps/>
      <w:color w:val="2F5597" w:themeColor="accent1" w:themeShade="BF"/>
      <w:spacing w:val="5"/>
    </w:rPr>
  </w:style>
  <w:style w:type="paragraph" w:customStyle="1" w:styleId="45">
    <w:name w:val="wdcj_7_p"/>
    <w:basedOn w:val="1"/>
    <w:qFormat/>
    <w:uiPriority w:val="0"/>
    <w:pPr>
      <w:widowControl/>
      <w:spacing w:before="100" w:beforeAutospacing="1" w:after="100" w:afterAutospacing="1" w:line="360" w:lineRule="auto"/>
      <w:ind w:firstLine="480"/>
      <w:jc w:val="left"/>
    </w:pPr>
    <w:rPr>
      <w:rFonts w:ascii="宋体" w:hAnsi="宋体" w:eastAsia="宋体" w:cs="宋体"/>
      <w:kern w:val="0"/>
      <w:sz w:val="24"/>
      <w:szCs w:val="24"/>
      <w14:ligatures w14:val="standardContextual"/>
    </w:rPr>
  </w:style>
  <w:style w:type="character" w:customStyle="1" w:styleId="46">
    <w:name w:val="font11"/>
    <w:basedOn w:val="20"/>
    <w:qFormat/>
    <w:uiPriority w:val="0"/>
    <w:rPr>
      <w:rFonts w:hint="eastAsia" w:ascii="宋体" w:hAnsi="宋体" w:eastAsia="宋体" w:cs="宋体"/>
      <w:color w:val="000000"/>
      <w:sz w:val="20"/>
      <w:szCs w:val="20"/>
      <w:u w:val="none"/>
    </w:rPr>
  </w:style>
  <w:style w:type="character" w:customStyle="1" w:styleId="47">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3186</Words>
  <Characters>3188</Characters>
  <Lines>39</Lines>
  <Paragraphs>11</Paragraphs>
  <TotalTime>23</TotalTime>
  <ScaleCrop>false</ScaleCrop>
  <LinksUpToDate>false</LinksUpToDate>
  <CharactersWithSpaces>3203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2025-03-04T08:03:00Z</dcterms:created>
  <dc:creator>4 123</dc:creator>
  <cp:lastModifiedBy>宝贝娟</cp:lastModifiedBy>
  <dcterms:modified xsi:type="dcterms:W3CDTF">2025-09-17T01:46:36Z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eyJoZGlkIjoiZGVmZGE1ZGM3NTJhYmFjZmE3MjRiZTM0MDAyYjcyN2QiLCJ1c2VySWQiOiI0NTAzMjIzNzIifQ==</vt:lpwstr>
  </property>
  <property fmtid="{D5CDD505-2E9C-101B-9397-08002B2CF9AE}" pid="3" name="KSOProductBuildVer">
    <vt:lpwstr>2052-12.1.0.22529</vt:lpwstr>
  </property>
  <property fmtid="{D5CDD505-2E9C-101B-9397-08002B2CF9AE}" pid="4" name="ICV">
    <vt:lpwstr>E7D5757F7D94467DA808F9B74F075809_13</vt:lpwstr>
  </property>
</Properties>
</file>